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LTH</w:t>
      </w:r>
      <w:r>
        <w:rPr>
          <w:rFonts w:ascii="Calibri" w:hAnsi="Calibri"/>
          <w:b/>
          <w:color w:val="1A2010"/>
          <w:sz w:val="40"/>
        </w:rPr>
        <w:t xml:space="preserve">  Life Time Group Holdings, Inc.</w:t>
      </w:r>
    </w:p>
    <w:p>
      <w:pPr>
        <w:spacing w:after="120"/>
      </w:pPr>
      <w:r>
        <w:rPr>
          <w:rFonts w:ascii="Calibri" w:hAnsi="Calibri"/>
          <w:b/>
          <w:color w:val="6E8450"/>
          <w:sz w:val="18"/>
        </w:rPr>
        <w:t>GROWTH SLEEVE · 2026-07-11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NYSE · United States</w:t>
      </w:r>
    </w:p>
    <w:p>
      <w:pPr>
        <w:spacing w:after="80"/>
      </w:pPr>
      <w:r>
        <w:rPr>
          <w:rFonts w:ascii="Calibri" w:hAnsi="Calibri"/>
          <w:b w:val="0"/>
          <w:color w:val="3A4A28"/>
          <w:sz w:val="20"/>
        </w:rPr>
        <w:t>Life Time Group Holdings operates large-format premium athletic country clubs across the United States and Canada, offering luxury fitness, wellness, sports, and social programming. Founded in 1992 by Bahram Akradi, the company operates 175+ centers with over 849,000 center memberships, generating revenue through membership dues, in-center services (personal training, spa, cafe), and digital offerings. Life Time distinguishes itself through resort-quality facilities averaging nearly 100,000 square feet, comprehensive wellness programming including ARORA (55+ community), MIORA (performance and longevity health), and the AI-powered L.AI.C health companion in the Life Time app.</w:t>
      </w:r>
    </w:p>
    <w:p>
      <w:r>
        <w:rPr>
          <w:rFonts w:ascii="Calibri" w:hAnsi="Calibri"/>
          <w:b/>
          <w:color w:val="6E8450"/>
          <w:sz w:val="18"/>
        </w:rPr>
        <w:t>45,000 Employees · https://www.lifetime.life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Life Time delivered FY2025 revenue of $2.99B (up 14.3% YoY) with net income surging 139.2% to $373.7M and adjusted EBITDA growing 21.9% to $825.2M [1]. The company achieved record membership retention, record revenue per membership, and record visit engagement — all at the highest levels in its 32-year history [2]. Named among Fast Company's Most Innovative Companies in wellness and personal care for 2025. New concept launches include ARORA (55+ community averaging 9,000+ classes per month, up 9% YoY), MIORA (performance and longevity health expanding from pilot to 8 locations), and LT Games hybrid-athletic competitions [2]. AI Deployment (1/2): Life Time launched L.AI.C, an AI-powered health companion integrated into the Life Time app. Life Time Digital now has 2.3 million accounts, up 216% year-over-year [2][3]. The tool provides personalized wellness guidance, but specific revenue or engagement impact metrics have not been disclosed. Market Share (2/2): Life Time is the undisputed leader in the premium fitness/athletic country club segment with no direct peer operating at comparable scale and price point. Over 849,000 center memberships and approximately 899,000 total memberships across 175+ locations represent the category-defining franchise [2]. Product Pipeline (1/2): The company plans to open 12-14 new clubs in 2026, adding nearly as much new square footage as it opened in the prior two years combined, with average club size of nearly 100,000 square feet [2]. MIORA longevity health is scaling rapidly. LTH nutritional products line is expanding. R&amp;D Intensity (0/1): As a service business, Life Time does not report traditional R&amp;D spending; innovation is expressed through new concept development and digital platform investment rather than technology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Life Time's 'Healthy Way of Life' mission has been consistently pursued for 32 years under founder Bahram Akradi's leadership since 1992 [3]. The purpose is authentic and has been validated through multiple business cycles, including surviving the COVID pandemic that devastated the fitness industry. Strategic decisions — building resort-quality facilities, launching longevity health programs (MIORA), creating 55+ communities (ARORA), developing nutritional products — all clearly trace to this wellness mission. The purpose survived a take-private transaction and re-IPO while maintaining its core identity. Community Impact (1/2): The company's ARORA program serves members aged 55 and older with over 9,000 classes per month, addressing health and social isolation among older adults [2]. Life Time's core business inherently promotes physical health and community connection. The Inspire Impact Score of 36 (ALIGNED) with positive attributions for Customer Welfare and Employee Wellbeing reflects genuine mission alignment [4]. However, no specific philanthropic dollar commitments or foundation programs were identified. Employee Retention (2/2): Life Time is recognized as a Great Place to Work, a meaningful certification given the scale of 45,000 team members across a service industry typically characterized by high turnover [3]. Bahram Akradi's 32-year tenure as founder and CEO provides exceptional leadership continuity rarely seen at this company scale. Insider Buying (1/2): Akradi has maintained significant personal ownership throughout the company's history, including through the leveraged buyout and re-IPO. The $500M share repurchase authorization announced with FY2025 results signals management confidence [1]. However, the prior screening period identified significant insider selling activity across multiple executives, which tempers this score.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FY2025 revenue of $2.99B grew 14.3% YoY with net income surging 139.2% to $373.7M, demonstrating strong operational leverage as the club portfolio matures [1]. Profit margin of 12.53% is solid for a capital-intensive service business. ROE of 12.95% is moderate but improving as profitability scales. EPS growth of 15.7% indicates healthy earnings momentum. Revenue growth of 11.7% is solid but faces tougher comparisons as the post-COVID recovery normalizes. However, the stock has appreciated significantly — Forward P/E of 21.47 is now above the 20x benchmark versus 14.7x at the prior screen, reflecting the premium the market now assigns to the growth profile. PEG ratio of approximately 1.55 is reasonable but less compelling than the prior 1.19. Debt-to-equity of 129.1% is elevated, reflecting the capital-intensive nature of operating luxury fitness facilities with significant lease obligations and real estate-related debt. The shift toward an asset-light model for new club openings should improve the balance sheet over time. The $500M share repurchase authorization demonstrates free cash flow generation capacity [1]. Average daily volume of 2,995,237 shares at $41.89 yields $125.4M daily dollar volume, providing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Life Time under Bahram Akradi displays strong infinite game characteristics. The founder's 32-year commitment to the 'Healthy Way of Life' mission, willingness to transform the business model from basic fitness clubs to luxury athletic country clubs, and investment in long-term capabilities like MIORA longevity health all reflect infinite thinking. The company's survival and reinvention through COVID — when many competitors closed permanently — demonstrated existential resilience. However, the high leverage, aggressive expansion cadence, and recent financial engineering (buyback, sale-leaseback) introduce finite-game financial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Bahram Akradi's 'Healthy Way of Life' mission has been pursued consistently for 32 years, surviving the company's IPO, leveraged buyout, re-IPO, and the existential crisis of COVID-19 [3]. The mission is inclusive (wellness for all ages, now including ARORA for 55+), forward-looking (MIORA longevity health), and resilient enough to guide strategic decisions through multiple business cycles. The expansion into holistic wellness — nutrition, longevity, community, digital health — demonstrates a purpose that evolves while maintaining its core. The cause is genuine and has shaped strategic decisions — walking away from the budget gym model, investing in premium wellness — but it ultimately serves a consumer lifestyle market rather than addressing a systemic societal challenge.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Life Time's Great Place to Work certification across 45,000 team members is particularly impressive in the high-turnover fitness and hospitality industry [3]. Akradi's 32-year tenure as founder and CEO provides exceptional leadership stability and cultural continuity that is rare at this company scale. Record visit engagement and record membership retention suggest high service quality delivery by front-line teams, which typically correlates with team trust and empowerment. However, the sheer scale of the operation (45,000 employees across 175+ clubs) means culture quality likely varies by location.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Life Time competes against Equinox in the premium segment, Planet Fitness in the value segment, and emerging boutique concepts (SoulCycle, Barry's, F45). The company's strategic positioning — consistently investing in larger, more luxurious facilities while competitors pursued smaller or more specialized formats — suggests awareness of the competitive landscape used for differentiation rather than imitation. The MIORA longevity health launch appears informed by competitors' longevity and wellness initiatives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Life Time has executed multiple business model transformations in service of its wellness mission — evolving from basic fitness clubs to luxury 'athletic country clubs' with resort-quality amenities, then surviving COVID-19 through operational reinvention when the entire fitness industry faced existential threat [1][2]. The recent pivot to an asset-light development model for new clubs, the launch of MIORA longevity health (expanding from pilot to 8 locations), the integration of AI-powered digital health tools, and the ARORA program for 55+ members all represent ongoing flexibility in how the company delivers on its mission.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Akradi has consistently made bold bets — building 100,000-square-foot luxury fitness destinations when the industry trended toward smaller, cheaper formats; investing heavily through the COVID closure period rather than retreating; launching MIORA longevity health into an unproven market; and authorizing a $500M share repurchase that signals confidence in the growth trajectory [1]. The decision to accelerate club openings to 12-14 in 2026, adding nearly as much square footage as the prior two years combined, demonstrates ambitious scaling [2]. However, the high leverage (129% D/E) and reliance on sale-leaseback transactions mean some of this boldness is funded by debt, introducing finite-game financial constraints.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Life Time Group Holdings is the dominant operator in premium athletic country clubs, delivering FY2025 revenue of $2.99B (up 14.3%), net income of $373.7M (up 139.2%), and adjusted EBITDA of $825.2M (up 21.9%) while achieving record membership retention and revenue per membership — both at the highest levels in the company's 32-year history [1][2]. Founder Bahram Akradi's 'Healthy Way of Life' mission has proven remarkably durable, and the company's differentiation through resort-quality facilities averaging nearly 100,000 square feet creates a structural moat against both mass-market gyms and boutique fitness concepts. Growth catalysts include 12-14 new club openings planned for 2026 under an asset-light model, MIORA longevity health expanding to 8 locations, Life Time Digital reaching 2.3M accounts (up 216% YoY) with the L.AI.C companion, and a $500M share repurchase program [1][2]. The company projects 2026 revenue of approximately $3.32B, maintaining double-digit growth momentum.</w:t>
      </w:r>
    </w:p>
    <w:p>
      <w:pPr>
        <w:spacing w:after="120"/>
      </w:pPr>
      <w:r>
        <w:rPr>
          <w:rFonts w:ascii="Calibri" w:hAnsi="Calibri"/>
          <w:b w:val="0"/>
          <w:color w:val="3A4A28"/>
          <w:sz w:val="20"/>
        </w:rPr>
        <w:t>The primary concern is that valuation has expanded significantly — Forward P/E of 21.47 (up from 14.7 at the prior screen three months ago) and PEG of approximately 1.55 (up from 1.19) reflect a stock that has appreciated roughly 50% while fundamentals, though strong, have not changed commensurately. Revenue growth of 11.7% faces tougher comparisons as the post-COVID membership recovery normalizes, and EPS growth has decelerated from 124.3% to 15.7% as the base-effect tailwind fades. Debt-to-equity of 129.1% is elevated for a cyclical consumer business, creating financial vulnerability in a recession scenario where premium discretionary spending is the first budget item consumers cut. The aggressive 2026 expansion with 12-14 new clubs creates execution risk, particularly with the back-half-loaded opening schedule. Prior screening identified significant insider selling by multiple executives ($7M+ in three months), which remains a concerning signal despite the corporate-level $500M buyback authorization. Consumer cyclical risk is real: Life Time targets affluent members paying premium monthly dues, and any prolonged economic downturn would pressure both membership counts and in-center spending.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Accelerated club opening cadence of 12-14 new locations in 2026 under an asset-light model, adding nearly as much new square footage as opened in the prior two years combined, driving membership and revenue growth toward $3.32B guidance</w:t>
      </w:r>
    </w:p>
    <w:p>
      <w:pPr>
        <w:spacing w:before="40" w:after="40"/>
        <w:ind w:left="283"/>
      </w:pPr>
      <w:r>
        <w:rPr>
          <w:rFonts w:ascii="Calibri" w:hAnsi="Calibri"/>
          <w:b/>
          <w:color w:val="4A6B25"/>
          <w:sz w:val="20"/>
        </w:rPr>
        <w:t xml:space="preserve">2. </w:t>
      </w:r>
      <w:r>
        <w:rPr>
          <w:rFonts w:ascii="Calibri" w:hAnsi="Calibri"/>
          <w:b w:val="0"/>
          <w:color w:val="3A4A28"/>
          <w:sz w:val="20"/>
        </w:rPr>
        <w:t>MIORA performance and longevity health scaling from pilot to 8+ locations with premium pricing potential that could significantly increase revenue per member and expand Life Time's addressable market into the longevity wellness category</w:t>
      </w:r>
    </w:p>
    <w:p>
      <w:pPr>
        <w:spacing w:before="40" w:after="40"/>
        <w:ind w:left="283"/>
      </w:pPr>
      <w:r>
        <w:rPr>
          <w:rFonts w:ascii="Calibri" w:hAnsi="Calibri"/>
          <w:b/>
          <w:color w:val="4A6B25"/>
          <w:sz w:val="20"/>
        </w:rPr>
        <w:t xml:space="preserve">3. </w:t>
      </w:r>
      <w:r>
        <w:rPr>
          <w:rFonts w:ascii="Calibri" w:hAnsi="Calibri"/>
          <w:b w:val="0"/>
          <w:color w:val="3A4A28"/>
          <w:sz w:val="20"/>
        </w:rPr>
        <w:t>Continued record membership retention rates combined with the $500M share repurchase program and deleveraging trajectory, creating a path toward multiple expansion as the balance sheet strengthens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has expanded significantly with Forward P/E of 21.47 and PEG of ~1.55 after a ~50% stock price appreciation, leaving less margin of safety if revenue growth continues decelerating from 14.3% toward high-single-digit rates</w:t>
      </w:r>
    </w:p>
    <w:p>
      <w:pPr>
        <w:spacing w:before="40" w:after="40"/>
        <w:ind w:left="283"/>
      </w:pPr>
      <w:r>
        <w:rPr>
          <w:rFonts w:ascii="Calibri" w:hAnsi="Calibri"/>
          <w:b/>
          <w:color w:val="4A6B25"/>
          <w:sz w:val="20"/>
        </w:rPr>
        <w:t xml:space="preserve">2. </w:t>
      </w:r>
      <w:r>
        <w:rPr>
          <w:rFonts w:ascii="Calibri" w:hAnsi="Calibri"/>
          <w:b w:val="0"/>
          <w:color w:val="3A4A28"/>
          <w:sz w:val="20"/>
        </w:rPr>
        <w:t>Debt-to-equity of 129.1% creates financial vulnerability in a consumer recession scenario where premium fitness membership is among the first discretionary expenses consumers reduce, and the aggressive expansion cadence constrains free cash flow</w:t>
      </w:r>
    </w:p>
    <w:p>
      <w:pPr>
        <w:spacing w:before="40" w:after="40"/>
        <w:ind w:left="283"/>
      </w:pPr>
      <w:r>
        <w:rPr>
          <w:rFonts w:ascii="Calibri" w:hAnsi="Calibri"/>
          <w:b/>
          <w:color w:val="4A6B25"/>
          <w:sz w:val="20"/>
        </w:rPr>
        <w:t xml:space="preserve">3. </w:t>
      </w:r>
      <w:r>
        <w:rPr>
          <w:rFonts w:ascii="Calibri" w:hAnsi="Calibri"/>
          <w:b w:val="0"/>
          <w:color w:val="3A4A28"/>
          <w:sz w:val="20"/>
        </w:rPr>
        <w:t>Consumer cyclical exposure means Life Time's premium-priced membership model is sensitive to economic downturns, while back-half-loaded 2026 club openings and prior insider selling activity by multiple executives introduce execution and conviction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Life Time's core value proposition — luxury physical fitness facilities, in-person wellness experiences, social community, and personal training — is fundamentally resistant to AI disruption. Physical fitness requires physical effort in physical spaces; no AI model can substitute for the experience of a 100,000-square-foot athletic country club with pools, courts, spas, and group fitness studios [2]. The social and community dimensions of club membership address human needs for connection and belonging that are inherently analog. Personal training, spa services, childcare, and food and beverage operations all require human presence. The physical infrastructure, real estate moat, and experiential nature of the service create near-complete insulation from AI substitution risk. Some peripheral exposure exists in personal training (AI coaching apps), nutrition counseling, and digital content delivery, but these represent a small fraction of total revenue and the premium in-person model commands significant pricing power over digital alternatives. AI Opportunity (1/1): Life Time has proactively deployed AI through L.AI.C, its AI-powered health companion in the Life Time app, which now reaches 2.3M digital accounts (up 216% YoY) [2][3]. AI can enhance personalization of fitness programming, predict member churn, optimize club operations, and improve the digital experience, making the technology a net enabler of the membership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Life Time Group Holdings FY2025 and Q4 2025 Earnings Release — SEC Form 8-K / StockTitan, February 2026</w:t>
      </w:r>
    </w:p>
    <w:p>
      <w:pPr>
        <w:spacing w:before="20" w:after="20"/>
        <w:ind w:left="170"/>
      </w:pPr>
      <w:r>
        <w:rPr>
          <w:rFonts w:ascii="Calibri" w:hAnsi="Calibri"/>
          <w:b/>
          <w:color w:val="4A6B25"/>
          <w:sz w:val="15"/>
        </w:rPr>
        <w:t xml:space="preserve">2. </w:t>
      </w:r>
      <w:r>
        <w:rPr>
          <w:rFonts w:ascii="Calibri" w:hAnsi="Calibri"/>
          <w:b w:val="0"/>
          <w:color w:val="3A4A28"/>
          <w:sz w:val="17"/>
        </w:rPr>
        <w:t>Life Time Group Holdings 10-K FY2025, Q2 2025 Earnings, and Expansion Plans — SEC Filings, 2025-2026</w:t>
      </w:r>
    </w:p>
    <w:p>
      <w:pPr>
        <w:spacing w:before="20" w:after="20"/>
        <w:ind w:left="170"/>
      </w:pPr>
      <w:r>
        <w:rPr>
          <w:rFonts w:ascii="Calibri" w:hAnsi="Calibri"/>
          <w:b/>
          <w:color w:val="4A6B25"/>
          <w:sz w:val="15"/>
        </w:rPr>
        <w:t xml:space="preserve">3. </w:t>
      </w:r>
      <w:r>
        <w:rPr>
          <w:rFonts w:ascii="Calibri" w:hAnsi="Calibri"/>
          <w:b w:val="0"/>
          <w:color w:val="3A4A28"/>
          <w:sz w:val="17"/>
        </w:rPr>
        <w:t>Bahram Akradi Leadership Profile, Great Place to Work Certification, and Fast Company Recognition — Life Time Investor Relations, 2025-2026</w:t>
      </w:r>
    </w:p>
    <w:p>
      <w:pPr>
        <w:spacing w:before="20" w:after="20"/>
        <w:ind w:left="170"/>
      </w:pPr>
      <w:r>
        <w:rPr>
          <w:rFonts w:ascii="Calibri" w:hAnsi="Calibri"/>
          <w:b/>
          <w:color w:val="4A6B25"/>
          <w:sz w:val="15"/>
        </w:rPr>
        <w:t xml:space="preserve">4. </w:t>
      </w:r>
      <w:r>
        <w:rPr>
          <w:rFonts w:ascii="Calibri" w:hAnsi="Calibri"/>
          <w:b w:val="0"/>
          <w:color w:val="3A4A28"/>
          <w:sz w:val="17"/>
        </w:rPr>
        <w:t>Inspire Insight — LTH ESG Impact Assessment,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LTH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