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LULU</w:t>
      </w:r>
      <w:r>
        <w:rPr>
          <w:rFonts w:ascii="Calibri" w:hAnsi="Calibri"/>
          <w:b/>
          <w:color w:val="1A2010"/>
          <w:sz w:val="40"/>
        </w:rPr>
        <w:t xml:space="preserve">  lululemon athletica inc.</w:t>
      </w:r>
    </w:p>
    <w:p>
      <w:pPr>
        <w:spacing w:after="120"/>
      </w:pPr>
      <w:r>
        <w:rPr>
          <w:rFonts w:ascii="Calibri" w:hAnsi="Calibri"/>
          <w:b/>
          <w:color w:val="6E8450"/>
          <w:sz w:val="18"/>
        </w:rPr>
        <w:t>GROWTH SLEEVE · 2026-07-11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NasdaqGS · Canada</w:t>
      </w:r>
    </w:p>
    <w:p>
      <w:pPr>
        <w:spacing w:after="80"/>
      </w:pPr>
      <w:r>
        <w:rPr>
          <w:rFonts w:ascii="Calibri" w:hAnsi="Calibri"/>
          <w:b w:val="0"/>
          <w:color w:val="3A4A28"/>
          <w:sz w:val="20"/>
        </w:rPr>
        <w:t>lululemon athletica inc. designs, distributes, and retails technical athletic apparel, footwear, and accessories for women and men. Operating over 700 stores globally, the brand is known for premium yoga/activewear with strong community-driven marketing and growing international presence, particularly in China.</w:t>
      </w:r>
    </w:p>
    <w:p>
      <w:r>
        <w:rPr>
          <w:rFonts w:ascii="Calibri" w:hAnsi="Calibri"/>
          <w:b/>
          <w:color w:val="6E8450"/>
          <w:sz w:val="18"/>
        </w:rPr>
        <w:t>39,000 Employees · https://corporate.lululemon.com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lululemon has expanded from yoga apparel into footwear, men's wear, and accessories, but no transformative business model pivot — the core athletic premium retail model is unchanged [1]. China revenue grew 30% YoY in Q1 2026, but Americas declined 3%, exposing geographic concentration shift. AI Deployment (0/2): No meaningful AI product deployment or quantified AI-driven cost savings identified. Market Share (2/2): lululemon holds a dominant position in premium athletic apparel with a category-defining brand that commands 70%+ price premiums over competitors, with strong loyalty from its community-based marketing model. Product Pipeline (1/2): Expanding footwear line, international store openings particularly in China, but no specific next-gen product launches with revenue visibility. R&amp;D Intensity (1/1): Significant investment in fabric technology and product innovation relative to apparel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lululemon's purpose of 'elevating the world from mediocrity to greatness' and creating products for sweaty pursuits is clear and distinct in the apparel space but reads more as aspirational marketing than a deeply validated cause. Community Impact (1/2): Strong community programs through ambassador network, local yoga classes, and the Here to Be foundation supporting social impact through yoga and mindfulness, with genuine grassroots investment. Employee Retention (1/2): CEO Calvin McDonald has led since 2018, providing consistent leadership. 39,000 employees with generally positive workplace culture, though retail turnover is inherent. Insider Buying (1/2): Share buyback programs signal management confidence in the business.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Q1 FY2026 revenue of $2.5B (up 4% YoY), though EPS declined 35% to $1.69 due to tariff impacts and markdowns [1]. D/E of 44.3% well within the 70% target (1.0). ROE of 32.03% far exceeds the 15% target (1.0, 2x weight). Forward PE of 10.46 is excellent below the 20 target (1.0). PEG of 0.87 is below the 1.0 target (1.0, 2x weight). Revenue growth of 4.3% is below the 10% target (0.81). Profit margin of 13.03% approaches but falls short of the 20% target (0.65). The low valuation (10.5x forward) reflects market concerns about growth deceleration and tariff headwinds.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lululemon demonstrates moderate infinite game thinking — the brand's community-first approach, ambassador network, and long-term investment in fabric innovation reflect enduring values. However, the increasing focus on geographic expansion (especially China dependence) and earnings optimization suggest growing finite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lululemon's purpose of elevating human potential through technical athletic wear is distinctive and has been consistently maintained since founding, shaping the community-driven retail model, ambassador program, and product development philosophy. The purpose is lived through the brand experience. However, the commercial focus on premium pricing and fashion-forward positioning sometimes tensions with the wellness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Calvin McDonald has provided stable leadership since 2018. The company's culture emphasizes 'personal responsibility' and professional development, with generally positive employee sentiment. Store-level employees often cite the brand culture as a reason they stay.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lululemon frames competition (Nike, Athleta, Vuori) as motivation to maintain product innovation and community connection rather than as threats to defeat. The company focuses on its own brand identity and technical differentiation.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lululemon has expanded incrementally — from women's yoga to men's wear, footwear, and international markets (China growing 30% YoY). These are meaningful extensions but not transformative reinventions of the business model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lululemon's commitment to premium pricing and brand exclusivity — resisting the temptation to discount broadly — demonstrates some courage to protect long-term brand equity. The investment in China despite geopolitical risk also shows conviction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lululemon trades at a compelling 10.46x forward earnings and 0.87 PEG, reflecting market concerns about Americas weakness and tariff headwinds. Q1 FY2026 revenue grew 4% to $2.5B with China surging 30% YoY, but EPS declined 35% to $1.69 due to margin pressure [1]. ROE of 32% and D/E of 44% demonstrate a high-quality balance sheet. The brand's premium positioning, community-driven model, and fabric technology innovation create durable competitive advantages. At current valuation, the stock prices in significant pessimism, creating potential upside if Americas trends stabilize.</w:t>
      </w:r>
    </w:p>
    <w:p>
      <w:pPr>
        <w:spacing w:after="120"/>
      </w:pPr>
      <w:r>
        <w:rPr>
          <w:rFonts w:ascii="Calibri" w:hAnsi="Calibri"/>
          <w:b w:val="0"/>
          <w:color w:val="3A4A28"/>
          <w:sz w:val="20"/>
        </w:rPr>
        <w:t>The primary risk is the Americas deceleration — comparable sales declined 5% in Q1 FY2026, suggesting the core North American market may be saturating or facing competitive pressure from Vuori, Alo Yoga, and Nike's direct-to-consumer push. EPS declined 35% due to tariff-related cost increases and markdowns, raising questions about margin sustainability. Growing China dependence (now ~19% of revenue) creates geopolitical risk. The FY2026 guidance reflects only modest growth expectations, suggesting management doesn't see a near-term catalyst for Americas reacceleration.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revenue growing 30% YoY could offset Americas weakness and drive overall revenue reacceleration as international mix increases</w:t>
      </w:r>
    </w:p>
    <w:p>
      <w:pPr>
        <w:spacing w:before="40" w:after="40"/>
        <w:ind w:left="283"/>
      </w:pPr>
      <w:r>
        <w:rPr>
          <w:rFonts w:ascii="Calibri" w:hAnsi="Calibri"/>
          <w:b/>
          <w:color w:val="4A6B25"/>
          <w:sz w:val="20"/>
        </w:rPr>
        <w:t xml:space="preserve">2. </w:t>
      </w:r>
      <w:r>
        <w:rPr>
          <w:rFonts w:ascii="Calibri" w:hAnsi="Calibri"/>
          <w:b w:val="0"/>
          <w:color w:val="3A4A28"/>
          <w:sz w:val="20"/>
        </w:rPr>
        <w:t>Valuation reset — at 10.5x forward PE and 0.87 PEG, any positive Americas comp inflection could drive significant multiple expansion</w:t>
      </w:r>
    </w:p>
    <w:p>
      <w:pPr>
        <w:spacing w:before="40" w:after="40"/>
        <w:ind w:left="283"/>
      </w:pPr>
      <w:r>
        <w:rPr>
          <w:rFonts w:ascii="Calibri" w:hAnsi="Calibri"/>
          <w:b/>
          <w:color w:val="4A6B25"/>
          <w:sz w:val="20"/>
        </w:rPr>
        <w:t xml:space="preserve">3. </w:t>
      </w:r>
      <w:r>
        <w:rPr>
          <w:rFonts w:ascii="Calibri" w:hAnsi="Calibri"/>
          <w:b w:val="0"/>
          <w:color w:val="3A4A28"/>
          <w:sz w:val="20"/>
        </w:rPr>
        <w:t>Footwear expansion and men's category growth providing new revenue vectors beyond core women's athletic apparel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Americas comparable sales declining 5% signals potential market saturation or brand fatigue in the core North American market</w:t>
      </w:r>
    </w:p>
    <w:p>
      <w:pPr>
        <w:spacing w:before="40" w:after="40"/>
        <w:ind w:left="283"/>
      </w:pPr>
      <w:r>
        <w:rPr>
          <w:rFonts w:ascii="Calibri" w:hAnsi="Calibri"/>
          <w:b/>
          <w:color w:val="4A6B25"/>
          <w:sz w:val="20"/>
        </w:rPr>
        <w:t xml:space="preserve">2. </w:t>
      </w:r>
      <w:r>
        <w:rPr>
          <w:rFonts w:ascii="Calibri" w:hAnsi="Calibri"/>
          <w:b w:val="0"/>
          <w:color w:val="3A4A28"/>
          <w:sz w:val="20"/>
        </w:rPr>
        <w:t>EPS declined 35% due to tariff headwinds and markdowns, with limited visibility on margin recovery timeline</w:t>
      </w:r>
    </w:p>
    <w:p>
      <w:pPr>
        <w:spacing w:before="40" w:after="40"/>
        <w:ind w:left="283"/>
      </w:pPr>
      <w:r>
        <w:rPr>
          <w:rFonts w:ascii="Calibri" w:hAnsi="Calibri"/>
          <w:b/>
          <w:color w:val="4A6B25"/>
          <w:sz w:val="20"/>
        </w:rPr>
        <w:t xml:space="preserve">3. </w:t>
      </w:r>
      <w:r>
        <w:rPr>
          <w:rFonts w:ascii="Calibri" w:hAnsi="Calibri"/>
          <w:b w:val="0"/>
          <w:color w:val="3A4A28"/>
          <w:sz w:val="20"/>
        </w:rPr>
        <w:t>Growing China dependence creates geopolitical risk — trade tensions, regulatory changes, or consumer sentiment shifts could impact the fastest-growing geography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lululemon's business is structurally immune to AI disruption — premium athletic apparel requires physical manufacturing, retail stores, brand trust, and in-person community experiences that AI cannot substitute. The tactile nature of fabric technology, fit, and quality creates a physical-world moat. AI cannot replicate the brand community, ambassador network, or the experience of trying on premium athletic wear. AI may benefit through supply chain optimization and personalized marketing. AI Opportunity (0/1): No meaningful AI-specific revenue or products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lululemon Q1 FY2026 Earnings Release — SEC 8-K Filing, May 2026</w:t>
      </w:r>
    </w:p>
    <w:p>
      <w:pPr>
        <w:spacing w:before="20" w:after="20"/>
        <w:ind w:left="170"/>
      </w:pPr>
      <w:r>
        <w:rPr>
          <w:rFonts w:ascii="Calibri" w:hAnsi="Calibri"/>
          <w:b/>
          <w:color w:val="4A6B25"/>
          <w:sz w:val="15"/>
        </w:rPr>
        <w:t xml:space="preserve">2. </w:t>
      </w:r>
      <w:r>
        <w:rPr>
          <w:rFonts w:ascii="Calibri" w:hAnsi="Calibri"/>
          <w:b w:val="0"/>
          <w:color w:val="3A4A28"/>
          <w:sz w:val="17"/>
        </w:rPr>
        <w:t>lululemon Q1 FY2026 Coverage — SGI Europe,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LULU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