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LXRX</w:t>
      </w:r>
      <w:r>
        <w:rPr>
          <w:rFonts w:ascii="Calibri" w:hAnsi="Calibri"/>
          <w:b/>
          <w:color w:val="1A2010"/>
          <w:sz w:val="40"/>
        </w:rPr>
        <w:t xml:space="preserve">  Lexicon Pharmaceuticals, Inc.</w:t>
      </w:r>
    </w:p>
    <w:p>
      <w:pPr>
        <w:spacing w:after="120"/>
      </w:pPr>
      <w:r>
        <w:rPr>
          <w:rFonts w:ascii="Calibri" w:hAnsi="Calibri"/>
          <w:b/>
          <w:color w:val="6E8450"/>
          <w:sz w:val="18"/>
        </w:rPr>
        <w:t>GROWTH SLEEVE · 2026-07-10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Lexicon Pharmaceuticals, Inc. is a biopharmaceutical company focused on the discovery, development, and commercialization of medicines for serious diseases through its proprietary Genome5000 genomics platform. Lead commercial product INPEFA (sotagliflozin) is approved for heart failure. Strategic licensing partnership with Novo Nordisk for cardiometabolic assets generates milestone-driven revenue. Cash position of $199.7M as of Q1 2026. Added to Russell 3000 Index in June 2026.</w:t>
      </w:r>
    </w:p>
    <w:p>
      <w:r>
        <w:rPr>
          <w:rFonts w:ascii="Calibri" w:hAnsi="Calibri"/>
          <w:b/>
          <w:color w:val="6E8450"/>
          <w:sz w:val="18"/>
        </w:rPr>
        <w:t>200 Employees · https://www.lexpharma.com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Lexicon achieved FDA approval of INPEFA (sotagliflozin) for heart failure and secured a strategic licensing partnership with Novo Nordisk for cardiometabolic assets, representing significant milestones for a small biotech [1]. The Genome5000 program has studied ~5,000 genes and identified 100+ protein targets with therapeutic potential, providing a differentiated discovery platform [4]. However, INPEFA commercial uptake has been disappointing ($1.1M Q1 2026 product sales), limiting the transformative impact. AI Deployment (0/2): No evidence of AI deployment in drug discovery or operations. Lexicon's approach is genomics-based rather than AI-powered, relying on the Genome5000 platform for target identification [4]. Market Share (0/2): INPEFA competes in the SGLT2 inhibitor market against entrenched products from J&amp;J (Invokana) and AstraZeneca (Farxiga). Q1 2026 net product sales of $1.1M represent negligible market share [1]. Product Pipeline (1/2): The Novo Nordisk partnership provides visibility into additional development milestones, and the Genome5000 pipeline spans cardiometabolic and neuroscience targets [4]. However, specific next-generation products beyond INPEFA lack named compounds with launch timelines. R&amp;D Intensity (1/1): As a clinical-stage biotech, R&amp;D is Lexicon's primary activity — R&amp;D expense is the largest cost line, consistent with industry expectations for a company at this stage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Lexicon's purpose centers on 'discovering and developing treatments for diseases with significant unmet medical needs' through its proprietary genomics platform [4]. This is clear and identifies a meaningful purpose (helping patients), but it is not distinctive among biotech companies — virtually every pharma and biotech states a similar mission. Community Impact (0/2): No evidence of charitable foundation, community programs, or philanthropic activities was identified. Small biotech companies typically lack the scale for significant community investment [3]. Employee Retention (0/2): New CEO Mike Exton (appointed July 2024) and new CFO Scott Coiante (January 2025) represent significant recent leadership turnover [3]. While these hires bring strong pharma experience (Exton from Novartis/Lilly, Cheung from Eisai added to board), the frequency of C-suite changes suggests organizational instability rather than long-tenure mission alignment. Insider Buying (0/2): No evidence of meaningful net insider buying. The $96.5M February 2026 common and preferred stock issuance signals dilutive capital raises rather than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due to pre-profitability status. D/E of 28.5% is well below the 70% target, reflecting Lexicon's modest debt relative to equity — the $199.7M cash position provides a clean balance sheet, scoring 1.0 [1][5]. However, ROE of -16.0% and profit margin of -37.5% both score 0.0, reflecting the reality of a company that has never sustained profitability despite decades of operation [5]. Revenue growth metrics are excluded as TTM revenue is dominated by a single $20M Novo Nordisk milestone payment in Q1 2026 that does not represent sustainable business growth [1]. Forward P/E and PEG are inapplicable for an unprofitable company. Infrastructure is scored on only three metrics (D/E, ROE, Profit Margin), with the strong balance sheet offset by the fundamental absence of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Lexicon exhibits mixed infinite-game characteristics. The company's genuine commitment to genomics-based drug discovery for unmet medical needs reflects a legitimate Just Cause, and decades of persistent R&amp;D investment through repeated failures demonstrate courage. However, the failure to achieve commercial success with INPEFA, frequent leadership changes, and reliance on dilutive capital raises reveal a company that may have a purpose but lacks the organizational foundation and execution capability to sustain it indefinitely.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Lexicon's commitment to discovering treatments through genomics for diseases with unmet medical needs represents a genuine cause that connects the company's work to something bigger than profit [4]. The Genome5000 program — studying nearly 5,000 genes to identify therapeutic targets — reflects a distinctive scientific approach that differentiates from most pharma companies. Strategic decisions (partnering with Novo Nordisk rather than going alone) show purpose-driven pragmatism. However, the cause hasn't been validated by commercial success — INPEFA sales remain negligible after five quarters.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Significant C-suite turnover — new CEO Mike Exton (July 2024), new CFO Scott Coiante (January 2025), and new board member Ivan Cheung (former Eisai CEO) — indicates organizational instability rather than a stable, trust-based culture [3]. Small pharma companies with repeated leadership changes often struggle to maintain psychological safety and team cohesion. No specific evidence of employee empowerment, long tenure, or cultural practices that create a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Lexicon competes against J&amp;J's Invokana and AZ's Farxiga in SGLT2 inhibitors and against numerous pharma companies in pipeline assets [1]. The company's competitive positioning does not publicly acknowledge competitors' strengths as motivation for improvement. The Novo Nordisk partnership, while strategically sound, is more about survival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Lexicon transformed from Lexicon Genetics (a genomics research company) into Lexicon Pharmaceuticals (a drug development and commercialization company), representing a genuine business model evolution [4]. The strategic decision to license cardiometabolic assets to Novo Nordisk rather than attempting to commercialize everything independently shows willingness to adapt the business model in service of the broader mission. These are incremental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Lexicon has persisted through decades of unprofitability, investing heavily in R&amp;D and clinical trials despite repeated setbacks — the company has never generated sustained profits since its founding [4]. New CEO Exton's focus on commercial execution of INPEFA and pipeline advancement, and the decision to partner with Novo Nordisk for capital-efficient development, represent pragmatic long-term choices over short-term financial engineering.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Lexicon's Q1 2026 revenue of $21.1M (vs. $1.3M prior year) was driven by a $20M Novo Nordisk development milestone, demonstrating the value of the licensing partnership and validating the Genome5000 pipeline's commercial potential [1]. Net loss narrowed dramatically to -$1.0M from -$25.3M, approaching breakeven on a quarterly basis. With $199.7M in cash (bolstered by $96.5M in February 2026 stock issuances), Lexicon has runway to fund multiple clinical catalysts [1]. Russell 3000 inclusion in June 2026 triggers automatic index fund purchasing, improving liquidity and institutional access [2]. The Genome5000 platform has identified 100+ protein targets, providing substantial optionality for additional out-licensing deals with major pharma partners [4].</w:t>
      </w:r>
    </w:p>
    <w:p>
      <w:pPr>
        <w:spacing w:after="120"/>
      </w:pPr>
      <w:r>
        <w:rPr>
          <w:rFonts w:ascii="Calibri" w:hAnsi="Calibri"/>
          <w:b w:val="0"/>
          <w:color w:val="3A4A28"/>
          <w:sz w:val="20"/>
        </w:rPr>
        <w:t>INPEFA (sotagliflozin) net product sales of only $1.1M in Q1 2026 — five quarters after commercial launch — reveal a critically underperforming commercial asset in a crowded SGLT2 inhibitor market dominated by J&amp;J's Invokana and AZ's Farxiga [1]. Revenue is almost entirely dependent on non-recurring Novo Nordisk milestone payments that could cease if development targets are missed, creating binary risk around partnership continuity. Profit margin of -37.5% and ROE of -16.0% reflect a business that has never sustained profitability despite decades of operation [5]. The February 2026 stock issuance of $96.5M signals continued reliance on dilutive capital raises — at the current $2.37 share price, each $100M raise would dilute existing shareholders by approximately 15%. New CEO Mike Exton (since July 2024) must demonstrate commercial execution that decades of prior management failed to achieve.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Additional Novo Nordisk development milestones could generate significant near-term revenue if clinical programs advance through Phase 2/3, validating the Genome5000 pipeline's commercial value beyond INPEFA</w:t>
      </w:r>
    </w:p>
    <w:p>
      <w:pPr>
        <w:spacing w:before="40" w:after="40"/>
        <w:ind w:left="283"/>
      </w:pPr>
      <w:r>
        <w:rPr>
          <w:rFonts w:ascii="Calibri" w:hAnsi="Calibri"/>
          <w:b/>
          <w:color w:val="4A6B25"/>
          <w:sz w:val="20"/>
        </w:rPr>
        <w:t xml:space="preserve">2. </w:t>
      </w:r>
      <w:r>
        <w:rPr>
          <w:rFonts w:ascii="Calibri" w:hAnsi="Calibri"/>
          <w:b w:val="0"/>
          <w:color w:val="3A4A28"/>
          <w:sz w:val="20"/>
        </w:rPr>
        <w:t>Russell 3000 index inclusion in June 2026 triggers automatic index fund purchasing, improving trading liquidity and establishing a higher institutional ownership base that could support future capital raises on better terms</w:t>
      </w:r>
    </w:p>
    <w:p>
      <w:pPr>
        <w:spacing w:before="40" w:after="40"/>
        <w:ind w:left="283"/>
      </w:pPr>
      <w:r>
        <w:rPr>
          <w:rFonts w:ascii="Calibri" w:hAnsi="Calibri"/>
          <w:b/>
          <w:color w:val="4A6B25"/>
          <w:sz w:val="20"/>
        </w:rPr>
        <w:t xml:space="preserve">3. </w:t>
      </w:r>
      <w:r>
        <w:rPr>
          <w:rFonts w:ascii="Calibri" w:hAnsi="Calibri"/>
          <w:b w:val="0"/>
          <w:color w:val="3A4A28"/>
          <w:sz w:val="20"/>
        </w:rPr>
        <w:t>Genome5000 platform's identification of 100+ protein targets provides substantial optionality for additional out-licensing deals with major pharma partners seeking validated genomic targets in cardiometabolic and neuroscience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INPEFA commercial sales of $1.1M per quarter suggest the product may never achieve meaningful market share against entrenched SGLT2 competitors, removing the most obvious path to self-sustaining product revenue</w:t>
      </w:r>
    </w:p>
    <w:p>
      <w:pPr>
        <w:spacing w:before="40" w:after="40"/>
        <w:ind w:left="283"/>
      </w:pPr>
      <w:r>
        <w:rPr>
          <w:rFonts w:ascii="Calibri" w:hAnsi="Calibri"/>
          <w:b/>
          <w:color w:val="4A6B25"/>
          <w:sz w:val="20"/>
        </w:rPr>
        <w:t xml:space="preserve">2. </w:t>
      </w:r>
      <w:r>
        <w:rPr>
          <w:rFonts w:ascii="Calibri" w:hAnsi="Calibri"/>
          <w:b w:val="0"/>
          <w:color w:val="3A4A28"/>
          <w:sz w:val="20"/>
        </w:rPr>
        <w:t>Near-total dependence on Novo Nordisk milestone payments for revenue creates binary risk — any adverse clinical data, regulatory setback, or partnership disagreement could eliminate the majority of near-term revenue overnight</w:t>
      </w:r>
    </w:p>
    <w:p>
      <w:pPr>
        <w:spacing w:before="40" w:after="40"/>
        <w:ind w:left="283"/>
      </w:pPr>
      <w:r>
        <w:rPr>
          <w:rFonts w:ascii="Calibri" w:hAnsi="Calibri"/>
          <w:b/>
          <w:color w:val="4A6B25"/>
          <w:sz w:val="20"/>
        </w:rPr>
        <w:t xml:space="preserve">3. </w:t>
      </w:r>
      <w:r>
        <w:rPr>
          <w:rFonts w:ascii="Calibri" w:hAnsi="Calibri"/>
          <w:b w:val="0"/>
          <w:color w:val="3A4A28"/>
          <w:sz w:val="20"/>
        </w:rPr>
        <w:t>Cash position of $199.7M funds approximately 2-3 years of operations at current burn rates, creating a finite window for pipeline validation before further dilutive equity raises are required at the current $2.37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drug development is structurally immune to AI disruption. The FDA regulatory approval process, multi-phase clinical trial requirements, patent protection, manufacturing complexity, physician prescribing relationships, and insurance reimbursement frameworks create massive barriers that AI cannot circumvent [4]. Lexicon's Genome5000 genomics platform represents decades of proprietary biological data and validated gene targets that would take years to replicate even with AI tools. While AI is increasingly used as a tool in drug discovery (molecular design, trial optimization), it enhances rather than replaces the pharma business model — the regulatory and clinical trial infrastructure remains the binding constraint. AI cannot substitute for human biological systems in clinical trials. AI Opportunity (0/1): No evidence of AI-generated revenue. Lexicon's discovery platform is genomics-based, not AI-powered, and the company has not reported using AI tools to generate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Lexicon Pharmaceuticals Q1 2026 Earnings Release and Financial Results — SEC Form 8-K, May 7, 2026</w:t>
      </w:r>
    </w:p>
    <w:p>
      <w:pPr>
        <w:spacing w:before="20" w:after="20"/>
        <w:ind w:left="170"/>
      </w:pPr>
      <w:r>
        <w:rPr>
          <w:rFonts w:ascii="Calibri" w:hAnsi="Calibri"/>
          <w:b/>
          <w:color w:val="4A6B25"/>
          <w:sz w:val="15"/>
        </w:rPr>
        <w:t xml:space="preserve">2. </w:t>
      </w:r>
      <w:r>
        <w:rPr>
          <w:rFonts w:ascii="Calibri" w:hAnsi="Calibri"/>
          <w:b w:val="0"/>
          <w:color w:val="3A4A28"/>
          <w:sz w:val="17"/>
        </w:rPr>
        <w:t>Lexicon Pharmaceuticals Russell 3000 Inclusion — Yahoo Finance, Insider Monkey, June 2026</w:t>
      </w:r>
    </w:p>
    <w:p>
      <w:pPr>
        <w:spacing w:before="20" w:after="20"/>
        <w:ind w:left="170"/>
      </w:pPr>
      <w:r>
        <w:rPr>
          <w:rFonts w:ascii="Calibri" w:hAnsi="Calibri"/>
          <w:b/>
          <w:color w:val="4A6B25"/>
          <w:sz w:val="15"/>
        </w:rPr>
        <w:t xml:space="preserve">3. </w:t>
      </w:r>
      <w:r>
        <w:rPr>
          <w:rFonts w:ascii="Calibri" w:hAnsi="Calibri"/>
          <w:b w:val="0"/>
          <w:color w:val="3A4A28"/>
          <w:sz w:val="17"/>
        </w:rPr>
        <w:t>Lexicon Pharmaceuticals CEO and Board Appointments — StockTitan, Comparably, 2024-2025</w:t>
      </w:r>
    </w:p>
    <w:p>
      <w:pPr>
        <w:spacing w:before="20" w:after="20"/>
        <w:ind w:left="170"/>
      </w:pPr>
      <w:r>
        <w:rPr>
          <w:rFonts w:ascii="Calibri" w:hAnsi="Calibri"/>
          <w:b/>
          <w:color w:val="4A6B25"/>
          <w:sz w:val="15"/>
        </w:rPr>
        <w:t xml:space="preserve">4. </w:t>
      </w:r>
      <w:r>
        <w:rPr>
          <w:rFonts w:ascii="Calibri" w:hAnsi="Calibri"/>
          <w:b w:val="0"/>
          <w:color w:val="3A4A28"/>
          <w:sz w:val="17"/>
        </w:rPr>
        <w:t>Lexicon Pharmaceuticals Annual Report FY2024 and Genome5000 Program — SEC Filing,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LXRX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