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LYV</w:t>
      </w:r>
      <w:r>
        <w:rPr>
          <w:rFonts w:ascii="Calibri" w:hAnsi="Calibri"/>
          <w:b/>
          <w:color w:val="1A2010"/>
          <w:sz w:val="40"/>
        </w:rPr>
        <w:t xml:space="preserve">  Live Nation Entertainment, Inc.</w:t>
      </w:r>
    </w:p>
    <w:p>
      <w:pPr>
        <w:spacing w:after="120"/>
      </w:pPr>
      <w:r>
        <w:rPr>
          <w:rFonts w:ascii="Calibri" w:hAnsi="Calibri"/>
          <w:b/>
          <w:color w:val="6E8450"/>
          <w:sz w:val="18"/>
        </w:rPr>
        <w:t>GROWTH SLEEVE · 2026-07-10 · Inspire: -83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Live Nation Entertainment, Inc. is the world's largest live entertainment company, operating through three segments: Ticketmaster (ticketing), Live Nation Concerts (concert promotion), and Live Nation Sponsorship &amp; Advertising. Revenue of $25.2B in FY2025, up 9% YoY. Found guilty of operating an illegal monopoly across ticketing, concert promotion, and venue management by a federal jury in April 2026. Remedies phase ongoing. CEO Michael Rapino has led the company for 20+ years.</w:t>
      </w:r>
    </w:p>
    <w:p>
      <w:r>
        <w:rPr>
          <w:rFonts w:ascii="Calibri" w:hAnsi="Calibri"/>
          <w:b/>
          <w:color w:val="6E8450"/>
          <w:sz w:val="18"/>
        </w:rPr>
        <w:t>62,000 Employees · https://www.livenationentertainment.com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Live Nation grew revenue from $11.5B (2019) to $25.2B (2025) through venue expansion, international growth, and vertical integration of ticketing-concerts-sponsorship [1][2]. However, this is scale-driven growth through market dominance, not product innovation — the Ticketmaster platform has been widely criticized as anti-consumer with poor user experience. No transformative product launches or business model pivots. AI Deployment (0/2): No specific evidence of AI-powered products shipping to customers or quantified internal AI-driven efficiency gains [2]. Live Nation's business is fundamentally about physical events, artist relationships, and venue operations. Market Share (2/2): Dominant category leader, confirmed by the April 2026 federal jury verdict finding Live Nation guilty of operating an illegal monopoly across ticketing, concert promotion, and venue management [3]. Ticketmaster processes the vast majority of primary tickets for major events in the U.S. Product Pipeline (1/2): Record deferred revenue of $6.6B signals a robust show pipeline, and the company continues expanding its owned/operated venue portfolio globally [1]. However, these are incremental capacity additions, not next-generation products or technology platforms. R&amp;D Intensity (0/1): As a live entertainment company, Live Nation does not invest meaningfully in R&amp;D relative to its $25.2B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Live Nation's purpose revolves around 'connecting fans with the artists and experiences they love,' which clearly identifies what the company does and for whom [2]. The mission is genuine — live entertainment does bring people together — but it is functional rather than aspirational. It doesn't articulate a deeper purpose beyond the obvious business of selling concert tickets and promoting shows. Community Impact (0/2): No specific charitable foundation, community investment programs, or philanthropic activities were identified in the research [2]. The company's monopolistic practices, as found by the federal jury, suggest a business that extracts value from communities rather than investing in them [3]. Employee Retention (0/2): No specific employee retention or tenure data available. With approximately 62,000 employees spanning venues, concerts, and corporate operations, the workforce is large but tenure data is not publicly reported [2]. Insider Buying (0/2): Net insider selling of $7.4M in the past 12 months, with no insider buys and four insider sells reported [5]. Insiders are de-risking personal exposure, which is a negative signal for long-term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D/E of 738.3% is far above the 300% floor, scoring 0 — Live Nation's aggressive leverage finances venue development and acquisitions at the cost of extreme balance sheet risk [6]. ROE of 14.9% is near the 15% target at 0.995, reflecting decent profitability on a highly leveraged equity base. Revenue growth YoY of 9% (FY2025) and 5-year CAGR of 40% (distorted by COVID-era near-zero 2020 revenue) score well [1][2]. Forward P/E of 500x and PEG of 17.6x both score 0, reflecting severely depressed GAAP earnings from the $450M legal accrual in Q1 2026 related to the monopoly verdict [1]. Profit margin of 0.3% scores near 0, reflecting the high-fixed-cost live entertainment model and legal charges. The infrastructure score is bifurcated — strong revenue growth and decent ROE offset by extreme leverage, near-zero margins, and distorted valuation multiples.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Live Nation is a paradigmatic finite-game player. The company achieved dominance through vertical integration and market power rather than purpose-driven innovation, as confirmed by the April 2026 monopoly verdict. Leadership under CEO Rapino has been consistent but focused on market control rather than industry improvement. The company's competitive behavior — pressuring artists and venues to use Ticketmaster or risk being shut out — is the antithesis of Sinek's infinite-game philosophy.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'Connecting fans with artists' is a clear purpose statement, but the April 2026 monopoly verdict undermines any claim of serving a greater cause — the federal jury found that Live Nation pressured artists and independent venues, shutting out those who didn't use Ticketmaster [3]. A company that uses market power to coerce participants is pursuing dominance, not a Just Cause. The purpose exists but is subordinated to monopolistic business practices.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Michael Rapino has led Live Nation for over 20 years, providing exceptional leadership continuity [2]. The organization has grown from a concert promoter to a $25.2B integrated entertainment company under stable management. With ~62,000 employees across global operations, the company maintains functional organizational trust sufficient to execute complex live events worldwide. However, no evidence of exceptional employee empowerment or cultural practices beyond operational competence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antitrust verdict is definitive evidence of a finite competitive mindset. Federal trial testimony revealed that Live Nation 'pressured artists and independent venues, with those who did not use Ticketmaster risking being shut out of major touring opportunities' [3]. This is not competing to learn or improve — this is competing to eliminate rivals and control the market. Sinek would cite this as a textbook example of finite-game thinking taken to its anti-competitive extreme.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Live Nation has evolved from a concert promoter into an integrated live entertainment conglomerate spanning ticketing (Ticketmaster), concert promotion, venue ownership/operation, and sponsorship [2]. This vertical integration represents meaningful business model evolution. However, the transformation was driven by market control strategy (own every link in the value chain) rather than purpose-driven reinvention, and the company has not demonstrated willingness to abandon profitable but misaligned businesses.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performance for long-term capability or making courageous principled decisions. The monopoly verdict suggests the opposite — leadership pursued short-term market control through anti-competitive practices rather than investing in organic competitive advantage [3]. The DOJ settlement extending the consent decree by eight years without financial penalties was negotiated to minimize near-term impact [4]. Net insider selling of $7.4M indicates leadership is extracting personal value rather than investing in the company's long-term future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Q1 2026 revenue of $3.79B (up 12% YoY) with record deferred revenue of $6.6B demonstrates insatiable consumer demand for live entertainment experiences [1]. FY2025 operating income grew 52% to $1.3B on $25.2B revenue (up 9%), showing significant operating leverage as the venue portfolio expands and sponsorship revenue scales [2]. Management guides to double-digit AOI growth in 2026 supported by international expansion and venue development. Live entertainment is structurally immune to AI disruption — the proliferation of AI-generated digital content increases the premium on authentic human experiences, potentially driving greater demand for concerts and live events. The 5-year revenue CAGR of 40% (admittedly COVID-distorted) and dominant market position provide a powerful growth platform.</w:t>
      </w:r>
    </w:p>
    <w:p>
      <w:pPr>
        <w:spacing w:after="120"/>
      </w:pPr>
      <w:r>
        <w:rPr>
          <w:rFonts w:ascii="Calibri" w:hAnsi="Calibri"/>
          <w:b w:val="0"/>
          <w:color w:val="3A4A28"/>
          <w:sz w:val="20"/>
        </w:rPr>
        <w:t>The April 2026 federal jury verdict finding Live Nation guilty of operating an illegal monopoly across ticketing, concert promotion, and venue management introduces open-ended structural risk — the remedies phase could mandate Ticketmaster divestiture, venue spin-offs, or operating restrictions that would fundamentally alter the business model [3]. The $450M legal accrual in Q1 2026 may be just the beginning of financial consequences from governmental investigations. D/E of 738% reflects an aggressively leveraged balance sheet with total debt far exceeding equity, leaving minimal margin for error if revenue growth slows [6]. Forward P/E of 500x and PEG of 17.6x reflect severely distorted GAAP earnings but underscore the valuation challenge. Net insider selling of $7.4M in the past 12 months signals that management is de-risking personal exposure to the ongoing legal proceedings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deferred revenue of $6.6B provides exceptional visibility into the 2026-2027 concert pipeline, supporting management's guidance for double-digit adjusted operating income growth</w:t>
      </w:r>
    </w:p>
    <w:p>
      <w:pPr>
        <w:spacing w:before="40" w:after="40"/>
        <w:ind w:left="283"/>
      </w:pPr>
      <w:r>
        <w:rPr>
          <w:rFonts w:ascii="Calibri" w:hAnsi="Calibri"/>
          <w:b/>
          <w:color w:val="4A6B25"/>
          <w:sz w:val="20"/>
        </w:rPr>
        <w:t xml:space="preserve">2. </w:t>
      </w:r>
      <w:r>
        <w:rPr>
          <w:rFonts w:ascii="Calibri" w:hAnsi="Calibri"/>
          <w:b w:val="0"/>
          <w:color w:val="3A4A28"/>
          <w:sz w:val="20"/>
        </w:rPr>
        <w:t>Venue expansion strategy adding owned/operated venues globally improves per-show economics and sponsorship attachment rates, with each new venue generating high-margin incremental revenue</w:t>
      </w:r>
    </w:p>
    <w:p>
      <w:pPr>
        <w:spacing w:before="40" w:after="40"/>
        <w:ind w:left="283"/>
      </w:pPr>
      <w:r>
        <w:rPr>
          <w:rFonts w:ascii="Calibri" w:hAnsi="Calibri"/>
          <w:b/>
          <w:color w:val="4A6B25"/>
          <w:sz w:val="20"/>
        </w:rPr>
        <w:t xml:space="preserve">3. </w:t>
      </w:r>
      <w:r>
        <w:rPr>
          <w:rFonts w:ascii="Calibri" w:hAnsi="Calibri"/>
          <w:b w:val="0"/>
          <w:color w:val="3A4A28"/>
          <w:sz w:val="20"/>
        </w:rPr>
        <w:t>If antitrust remedies are limited to behavioral restrictions rather than structural separation (Ticketmaster divestiture), the stock could re-rate significantly as the uncertainty discount unwinds from the current distorted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Antitrust remedies phase could mandate Ticketmaster divestiture or structural separation of concert promotion and venue operations, fundamentally undermining the vertically integrated business model that drives margins and competitive dominance</w:t>
      </w:r>
    </w:p>
    <w:p>
      <w:pPr>
        <w:spacing w:before="40" w:after="40"/>
        <w:ind w:left="283"/>
      </w:pPr>
      <w:r>
        <w:rPr>
          <w:rFonts w:ascii="Calibri" w:hAnsi="Calibri"/>
          <w:b/>
          <w:color w:val="4A6B25"/>
          <w:sz w:val="20"/>
        </w:rPr>
        <w:t xml:space="preserve">2. </w:t>
      </w:r>
      <w:r>
        <w:rPr>
          <w:rFonts w:ascii="Calibri" w:hAnsi="Calibri"/>
          <w:b w:val="0"/>
          <w:color w:val="3A4A28"/>
          <w:sz w:val="20"/>
        </w:rPr>
        <w:t>D/E of 738% and near-zero 0.3% profit margin (depressed by $450M legal accrual) create extreme financial vulnerability — any revenue deceleration, interest rate increase, or additional legal charges could trigger severe equity repricing</w:t>
      </w:r>
    </w:p>
    <w:p>
      <w:pPr>
        <w:spacing w:before="40" w:after="40"/>
        <w:ind w:left="283"/>
      </w:pPr>
      <w:r>
        <w:rPr>
          <w:rFonts w:ascii="Calibri" w:hAnsi="Calibri"/>
          <w:b/>
          <w:color w:val="4A6B25"/>
          <w:sz w:val="20"/>
        </w:rPr>
        <w:t xml:space="preserve">3. </w:t>
      </w:r>
      <w:r>
        <w:rPr>
          <w:rFonts w:ascii="Calibri" w:hAnsi="Calibri"/>
          <w:b w:val="0"/>
          <w:color w:val="3A4A28"/>
          <w:sz w:val="20"/>
        </w:rPr>
        <w:t>Artist and venue backlash following the monopoly verdict could accelerate adoption of alternative ticketing platforms and independent promotion, gradually eroding Ticketmaster's market share even without forced divestiture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Live entertainment is structurally immune to AI disruption — it is perhaps the most AI-resistant business model in public markets. Concerts, festivals, and live events are inherently physical-world experiences that AI cannot substitute [1][2]. The emotional connection of attending a live performance, the social experience of shared audience moments, and the irreplaceable presence of human artists are definitionally beyond AI's reach. If anything, the proliferation of AI-generated digital content (AI music, AI art, AI video) increases the premium on authentic human experiences, potentially driving greater demand for live entertainment. Ticketmaster's platform, venue operations, artist booking relationships, and event logistics all require physical-world infrastructure that AI cannot replicate. AI Opportunity (0/1): No evidence of AI-generated revenue. Live Nation's business is built on physical events, artist relationships, and venue operations — revenue comes from ticket sales, sponsorships, and concessions, not AI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Live Nation Entertainment Q1 2026 Earnings Release — PRNewswire, May 5, 2026</w:t>
      </w:r>
    </w:p>
    <w:p>
      <w:pPr>
        <w:spacing w:before="20" w:after="20"/>
        <w:ind w:left="170"/>
      </w:pPr>
      <w:r>
        <w:rPr>
          <w:rFonts w:ascii="Calibri" w:hAnsi="Calibri"/>
          <w:b/>
          <w:color w:val="4A6B25"/>
          <w:sz w:val="15"/>
        </w:rPr>
        <w:t xml:space="preserve">2. </w:t>
      </w:r>
      <w:r>
        <w:rPr>
          <w:rFonts w:ascii="Calibri" w:hAnsi="Calibri"/>
          <w:b w:val="0"/>
          <w:color w:val="3A4A28"/>
          <w:sz w:val="17"/>
        </w:rPr>
        <w:t>Live Nation Entertainment FY2025 Results — SEC Form 8-K, February 2026</w:t>
      </w:r>
    </w:p>
    <w:p>
      <w:pPr>
        <w:spacing w:before="20" w:after="20"/>
        <w:ind w:left="170"/>
      </w:pPr>
      <w:r>
        <w:rPr>
          <w:rFonts w:ascii="Calibri" w:hAnsi="Calibri"/>
          <w:b/>
          <w:color w:val="4A6B25"/>
          <w:sz w:val="15"/>
        </w:rPr>
        <w:t xml:space="preserve">3. </w:t>
      </w:r>
      <w:r>
        <w:rPr>
          <w:rFonts w:ascii="Calibri" w:hAnsi="Calibri"/>
          <w:b w:val="0"/>
          <w:color w:val="3A4A28"/>
          <w:sz w:val="17"/>
        </w:rPr>
        <w:t>Live Nation-Ticketmaster Found Guilty of Illegal Monopoly — ESG News, April 2026</w:t>
      </w:r>
    </w:p>
    <w:p>
      <w:pPr>
        <w:spacing w:before="20" w:after="20"/>
        <w:ind w:left="170"/>
      </w:pPr>
      <w:r>
        <w:rPr>
          <w:rFonts w:ascii="Calibri" w:hAnsi="Calibri"/>
          <w:b/>
          <w:color w:val="4A6B25"/>
          <w:sz w:val="15"/>
        </w:rPr>
        <w:t xml:space="preserve">4. </w:t>
      </w:r>
      <w:r>
        <w:rPr>
          <w:rFonts w:ascii="Calibri" w:hAnsi="Calibri"/>
          <w:b w:val="0"/>
          <w:color w:val="3A4A28"/>
          <w:sz w:val="17"/>
        </w:rPr>
        <w:t>DOJ Antitrust Settlement and Consent Decree Extension — Department of Justice, March 2026</w:t>
      </w:r>
    </w:p>
    <w:p>
      <w:pPr>
        <w:spacing w:before="20" w:after="20"/>
        <w:ind w:left="170"/>
      </w:pPr>
      <w:r>
        <w:rPr>
          <w:rFonts w:ascii="Calibri" w:hAnsi="Calibri"/>
          <w:b/>
          <w:color w:val="4A6B25"/>
          <w:sz w:val="15"/>
        </w:rPr>
        <w:t xml:space="preserve">5. </w:t>
      </w:r>
      <w:r>
        <w:rPr>
          <w:rFonts w:ascii="Calibri" w:hAnsi="Calibri"/>
          <w:b w:val="0"/>
          <w:color w:val="3A4A28"/>
          <w:sz w:val="17"/>
        </w:rPr>
        <w:t>Live Nation Insider Trading Activity — GuruFocus, HedgeFollow, Yahoo Finance,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LYV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