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MAA</w:t>
      </w:r>
      <w:r>
        <w:rPr>
          <w:rFonts w:ascii="Calibri" w:hAnsi="Calibri"/>
          <w:b/>
          <w:color w:val="1A2010"/>
          <w:sz w:val="40"/>
        </w:rPr>
        <w:t xml:space="preserve">  Mid-America Apartment Communities, Inc.</w:t>
      </w:r>
    </w:p>
    <w:p>
      <w:pPr>
        <w:spacing w:after="120"/>
      </w:pPr>
      <w:r>
        <w:rPr>
          <w:rFonts w:ascii="Calibri" w:hAnsi="Calibri"/>
          <w:b/>
          <w:color w:val="6E8450"/>
          <w:sz w:val="18"/>
        </w:rPr>
        <w:t>DIVIDEND SLEEVE · 2026-08-10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Mid-America Apartment Communities, Inc. is an S&amp;P 500 real estate investment trust focused on the ownership, management, acquisition, development, and redevelopment of quality apartment communities in the Sunbelt region of the United States. The company owns approximately 100,000 apartment units across 16 states and Washington, D.C., with concentrations in high-growth markets including Atlanta, Dallas, Charlotte, Raleigh, Nashville, and Tampa. Founded in 1977, headquartered in Memphis, Tennessee.</w:t>
      </w:r>
    </w:p>
    <w:p>
      <w:r>
        <w:rPr>
          <w:rFonts w:ascii="Calibri" w:hAnsi="Calibri"/>
          <w:b/>
          <w:color w:val="6E8450"/>
          <w:sz w:val="18"/>
        </w:rPr>
        <w:t>2,600 Employees · https://www.maac.com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MAA launched the ReiMAAgined Operating Platform in 2025-2026, centralizing property management operations using AI to reduce staffing requirements and improve leasing efficiency — a meaningful technology initiative for the apartment REIT sector [3][5]. Also completed portfolio-wide Wi-Fi rollout and deployed smart home features across communities. AI Deployment (1/2): The ReiMAAgined Operating Platform uses AI to automate maintenance request routing, respond to common leasing inquiries, and reduce service friction for residents — operational AI that is deployed and generating measurable efficiency gains, though specific cost savings have not been quantified publicly [3]. Market Share (1/2): MAA is the largest publicly-traded apartment REIT focused on the Sunbelt, an S&amp;P 500 member with ~100,000 units across high-growth markets. Occupancy of 95.3-95.5% demonstrates strong demand capture despite significant new supply pressure in Charlotte, Raleigh, and Phoenix [1][2]. Product Pipeline (1/2): Active development pipeline of 6 communities with 1,788 units under construction and $234.2M in remaining development costs, plus 5 lease-up communities with 1,843 units at 68.3% occupancy. New land acquisitions in Northern Virginia, Kansas City, and Nashville provide forward visibility [1]. R&amp;D Intensity (1/1): Having a dedicated EVP, Chief Technology and Innovation Officer (Joe Fracchia, newly promoted role) is distinctive among apartment REITs and signals above-peer commitment to technology investment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MAA positions itself as providing 'Luxury Apartment Rentals' but does not articulate a distinctive mission or purpose beyond being a high-quality apartment provider. The company's investor materials focus on operational excellence, Sunbelt market strategy, and total shareholder returns — standard REIT language interchangeable with any peer. Community Impact (0/2): No evidence of foundation, charitable programs, or distinctive community investment beyond standard corporate sustainability reporting. ESG management rated 'strong' by Sustainalytics but no specific social programs cited [4]. Employee Retention (1/2): Executive team rated Top 30% on Comparably for companies with 1,001-5,000 employees. Long leadership tenures (Bolton 20+ years as CEO before planned retirement, Hill at MAA since 2010). Record-low resident turnover of 39.6% is a proxy for property-level team satisfaction. Joe Fracchia promoted to EVP, Chief People and Technology Officer, indicating organizational investment in talent [3]. Insider Buying (1/2): Director Tamara Fischer purchased 1,100 shares at $128.55 ($141,405) on May 21, 2026. Net insider buying has exceeded selling in the past 3 months, signaling board-level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delivered $553.7M revenue with $348.2M NOI and Core FFO of $2.13/share, supporting full-year guidance of $8.53 midpoint [1]. Balance sheet is well-structured for a REIT with $5.7B total debt, 87.1% fixed rate, 6.1 years average maturity, and net debt/adjusted EBITDA of 4.5x [1]. D/E of 104.4% is elevated but typical for REITs, which use leverage to enhance returns on physical assets. ROE of 7.03% is depressed by GAAP depreciation that understates REIT economics — Core FFO return on equity is substantially higher. Profit margin of ~22% is strong. The 32+ year consecutive dividend track record (129 quarters) with 14 consecutive years of growth and 8.3% 5yr CAGR demonstrates institutional-quality income reliability [1]. Forward GAAP P/E of ~30 is elevated but standard for high-quality REITs; P/FFO of 15.2x is reasonable. Payout ratio of 71.8% (Core FFO) provides adequate coverage with room for continued dividend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MAA exhibits several infinite game behaviors — 32+ years of consecutive dividends, planned multi-year CEO succession (Bolton to Hill), continued development investment through supply-heavy markets, and long leadership tenures — but these reflect operational discipline rather than a Just Cause. The company plays to endure through conservative balance sheet management and Sunbelt market focus, but its competitive language and strategic framing remain anchored in financial returns and shareholder value rather than a vision of a future state worth sacrificing for.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MAA's purpose is implied rather than articulated — providing quality apartment homes in the Sunbelt. Housing is a fundamental human need, and the company's 32+ year operating track record demonstrates commitment to serving it. However, the company's communications are overwhelmingly focused on total shareholder returns, FFO growth, and operational efficiency. There is no articulated vision of a better future that transcends financial performance. The CEO transition commentary focused on 'growth trajectory' and 'investment performance,' not on a deeper purpose for why MAA exists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MAA demonstrates adequate organizational trust through long leadership tenures — Bolton served as CEO for 20+ years, Hill has been with the company since 2010, and the executive team is rated Top 30% on Comparably [3]. The planned CEO succession (announced December 2024, effective April 2025) was smooth, suggesting organizational stability. Record-low resident turnover of 39.6% indicates well-managed properties with satisfied on-site teams. The creation of the Chief People and Technology Officer role signals investment in employee experience.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MAA's competitive positioning language focuses on Sunbelt market demographics, rental pricing power, and development yields rather than learning from or acknowledging rival apartment REITs like AvalonBay, UDR, or Camden Property. Management commentary frames competition in terms of supply/demand dynamics and market share rather than self-improvement inspired by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MAA has incrementally evolved from a diversified apartment portfolio to a Sunbelt-focused strategy, invested in technology platforms (ReiMAAgine), and expanded from pure acquisitions into ground-up development. The technology investment is meaningful — centralizing operations using AI to reduce staffing and improve efficiency represents a significant operational model evolution for a REIT [3]. However, the core business model (own and operate apartments, collect rent) has not fundamentally changed in 45+ years.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MAA deployed $100M in development capital in Q1 2026 alone despite challenging new supply conditions in key markets like Charlotte, Raleigh, and Phoenix [1]. The company acquired land in three new markets and maintained full-year guidance rather than cutting back. The 32-year consecutive dividend through multiple recessions (including the 2008-2009 financial crisis) demonstrates willingness to commit to long-term obligations. However, these are rational capital allocation decisions consistent with REIT strategy, not costly principled stands.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MAA is a high-quality Sunbelt apartment REIT showing improving leasing fundamentals — five consecutive quarters of improving year-over-year blended rent performance, record-low resident turnover of 39.6%, and renewal lease-over-lease rate of 5.2% (up 50bps YoY) in Q2 2026 [1][2]. At 4.57% dividend yield with 14 consecutive years of growth (8.3% 5yr CAGR), Core FFO payout ratio of 71.8%, and $217.98M cash, the dividend is well-covered and growing. The development pipeline of 6 communities (1,788 units) plus new land acquisitions in Northern Virginia, Kansas City, and Nashville provides organic growth visibility. Net debt/EBITDA of 4.5x and 87.1% fixed-rate debt with 6.1-year average maturity insulate against interest rate volatility [1].</w:t>
      </w:r>
    </w:p>
    <w:p>
      <w:pPr>
        <w:spacing w:after="120"/>
      </w:pPr>
      <w:r>
        <w:rPr>
          <w:rFonts w:ascii="Calibri" w:hAnsi="Calibri"/>
          <w:b w:val="0"/>
          <w:color w:val="3A4A28"/>
          <w:sz w:val="20"/>
        </w:rPr>
        <w:t>The bear case centers on the prolonged supply cycle pressuring Sunbelt apartment markets. Same-store revenue declined 0.4% YoY in Q1 2026, and new lease pricing recovery remains sluggish, prompting management to reduce the revenue guidance range [1]. Charlotte, Raleigh, and Phoenix face significant construction completions through 2026-2027 that will limit pricing power. GAAP EPS declined meaningfully (Q1 $1.06 vs $1.54 prior year) as depreciation and interest expense weigh on earnings. The Forward GAAP P/E of ~30 is expensive for a company with negative same-store revenue growth, and the stock has declined from $17.22 (52-week high pre-split) suggesting market recognition of the supply headwind. The CEO transition from Bolton (20+ years) to Hill introduces execution uncertainty, though Hill's 16-year tenure at MAA mitigates this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apartment supply deliveries expected to peak in mid-2026 and decline meaningfully in 2027-2028, creating a multi-year tailwind for rent growth across MAA's Sunbelt markets</w:t>
      </w:r>
    </w:p>
    <w:p>
      <w:pPr>
        <w:spacing w:before="40" w:after="40"/>
        <w:ind w:left="283"/>
      </w:pPr>
      <w:r>
        <w:rPr>
          <w:rFonts w:ascii="Calibri" w:hAnsi="Calibri"/>
          <w:b/>
          <w:color w:val="4A6B25"/>
          <w:sz w:val="20"/>
        </w:rPr>
        <w:t xml:space="preserve">2. </w:t>
      </w:r>
      <w:r>
        <w:rPr>
          <w:rFonts w:ascii="Calibri" w:hAnsi="Calibri"/>
          <w:b w:val="0"/>
          <w:color w:val="3A4A28"/>
          <w:sz w:val="20"/>
        </w:rPr>
        <w:t>ReiMAAgined Operating Platform rollout expected to expand margins by reducing on-site staffing requirements and automating leasing processes across the 100,000-unit portfolio</w:t>
      </w:r>
    </w:p>
    <w:p>
      <w:pPr>
        <w:spacing w:before="40" w:after="40"/>
        <w:ind w:left="283"/>
      </w:pPr>
      <w:r>
        <w:rPr>
          <w:rFonts w:ascii="Calibri" w:hAnsi="Calibri"/>
          <w:b/>
          <w:color w:val="4A6B25"/>
          <w:sz w:val="20"/>
        </w:rPr>
        <w:t xml:space="preserve">3. </w:t>
      </w:r>
      <w:r>
        <w:rPr>
          <w:rFonts w:ascii="Calibri" w:hAnsi="Calibri"/>
          <w:b w:val="0"/>
          <w:color w:val="3A4A28"/>
          <w:sz w:val="20"/>
        </w:rPr>
        <w:t>Development pipeline of 1,788 units under construction plus 1,843 units in lease-up provides incremental NOI growth as projects stabilize at 95%+ occupancy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Sunbelt apartment supply cycle is extended — Charlotte, Raleigh, Phoenix, and other key MAA markets face construction completions through 2027, limiting new lease pricing recovery and pressuring same-store revenue growth below 0%</w:t>
      </w:r>
    </w:p>
    <w:p>
      <w:pPr>
        <w:spacing w:before="40" w:after="40"/>
        <w:ind w:left="283"/>
      </w:pPr>
      <w:r>
        <w:rPr>
          <w:rFonts w:ascii="Calibri" w:hAnsi="Calibri"/>
          <w:b/>
          <w:color w:val="4A6B25"/>
          <w:sz w:val="20"/>
        </w:rPr>
        <w:t xml:space="preserve">2. </w:t>
      </w:r>
      <w:r>
        <w:rPr>
          <w:rFonts w:ascii="Calibri" w:hAnsi="Calibri"/>
          <w:b w:val="0"/>
          <w:color w:val="3A4A28"/>
          <w:sz w:val="20"/>
        </w:rPr>
        <w:t>GAAP EPS declining sharply (-31% YoY in Q1) as elevated interest expense ($33.4M senior notes issued at 4.65%) and depreciation charges compress reported earnings despite stable Core FFO</w:t>
      </w:r>
    </w:p>
    <w:p>
      <w:pPr>
        <w:spacing w:before="40" w:after="40"/>
        <w:ind w:left="283"/>
      </w:pPr>
      <w:r>
        <w:rPr>
          <w:rFonts w:ascii="Calibri" w:hAnsi="Calibri"/>
          <w:b/>
          <w:color w:val="4A6B25"/>
          <w:sz w:val="20"/>
        </w:rPr>
        <w:t xml:space="preserve">3. </w:t>
      </w:r>
      <w:r>
        <w:rPr>
          <w:rFonts w:ascii="Calibri" w:hAnsi="Calibri"/>
          <w:b w:val="0"/>
          <w:color w:val="3A4A28"/>
          <w:sz w:val="20"/>
        </w:rPr>
        <w:t>CEO transition from 20-year veteran Bolton to Hill introduces execution risk during a challenging supply cycle, and the company's premium REIT valuation (~30x forward P/E, 15.2x P/FFO) leaves limited margin of safety for any operational miss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MAA's core business — owning and operating physical apartment communities — is structurally immune to AI disruption. People will always need physical housing, and AI cannot substitute for real buildings, land, maintenance, and in-person property management services [1]. The 100,000-unit portfolio represents irreplaceable physical assets in desirable Sunbelt locations where population growth and household formation drive demand regardless of technological change. Regulatory and zoning barriers to apartment development create additional protection from disruption. AI may actually benefit MAA by enabling operational efficiency gains and reducing costs, which the company is already capturing through its ReiMAAgined Operating Platform. AI Opportunity (0/1): MAA deploys AI for internal operational efficiency (leasing automation, maintenance routing) but does not generate revenue from AI products or services. The AI deployment reduces costs rather than creating new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MAA Q1 2026 Earnings Release — ir.maac.com, 2026</w:t>
      </w:r>
    </w:p>
    <w:p>
      <w:pPr>
        <w:spacing w:before="20" w:after="20"/>
        <w:ind w:left="170"/>
      </w:pPr>
      <w:r>
        <w:rPr>
          <w:rFonts w:ascii="Calibri" w:hAnsi="Calibri"/>
          <w:b/>
          <w:color w:val="4A6B25"/>
          <w:sz w:val="15"/>
        </w:rPr>
        <w:t xml:space="preserve">2. </w:t>
      </w:r>
      <w:r>
        <w:rPr>
          <w:rFonts w:ascii="Calibri" w:hAnsi="Calibri"/>
          <w:b w:val="0"/>
          <w:color w:val="3A4A28"/>
          <w:sz w:val="17"/>
        </w:rPr>
        <w:t>MAA Q2 2026 Earnings Call Transcript — Investing.com, 2026</w:t>
      </w:r>
    </w:p>
    <w:p>
      <w:pPr>
        <w:spacing w:before="20" w:after="20"/>
        <w:ind w:left="170"/>
      </w:pPr>
      <w:r>
        <w:rPr>
          <w:rFonts w:ascii="Calibri" w:hAnsi="Calibri"/>
          <w:b/>
          <w:color w:val="4A6B25"/>
          <w:sz w:val="15"/>
        </w:rPr>
        <w:t xml:space="preserve">3. </w:t>
      </w:r>
      <w:r>
        <w:rPr>
          <w:rFonts w:ascii="Calibri" w:hAnsi="Calibri"/>
          <w:b w:val="0"/>
          <w:color w:val="3A4A28"/>
          <w:sz w:val="17"/>
        </w:rPr>
        <w:t>MAA CEO Transition and Leadership — GuruFocus/CoStar, 2024-2025</w:t>
      </w:r>
    </w:p>
    <w:p>
      <w:pPr>
        <w:spacing w:before="20" w:after="20"/>
        <w:ind w:left="170"/>
      </w:pPr>
      <w:r>
        <w:rPr>
          <w:rFonts w:ascii="Calibri" w:hAnsi="Calibri"/>
          <w:b/>
          <w:color w:val="4A6B25"/>
          <w:sz w:val="15"/>
        </w:rPr>
        <w:t xml:space="preserve">4. </w:t>
      </w:r>
      <w:r>
        <w:rPr>
          <w:rFonts w:ascii="Calibri" w:hAnsi="Calibri"/>
          <w:b w:val="0"/>
          <w:color w:val="3A4A28"/>
          <w:sz w:val="17"/>
        </w:rPr>
        <w:t>MAA Sustainability and ESG — Sustainalytics, ir.maac.com</w:t>
      </w:r>
    </w:p>
    <w:p>
      <w:pPr>
        <w:spacing w:before="20" w:after="20"/>
        <w:ind w:left="170"/>
      </w:pPr>
      <w:r>
        <w:rPr>
          <w:rFonts w:ascii="Calibri" w:hAnsi="Calibri"/>
          <w:b/>
          <w:color w:val="4A6B25"/>
          <w:sz w:val="15"/>
        </w:rPr>
        <w:t xml:space="preserve">5. </w:t>
      </w:r>
      <w:r>
        <w:rPr>
          <w:rFonts w:ascii="Calibri" w:hAnsi="Calibri"/>
          <w:b w:val="0"/>
          <w:color w:val="3A4A28"/>
          <w:sz w:val="17"/>
        </w:rPr>
        <w:t>MAA Insider Buying Activity — MarketBeat/DailyPolitical, May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MAA Key Statistics,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