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MAC</w:t>
      </w:r>
      <w:r>
        <w:rPr>
          <w:rFonts w:ascii="Calibri" w:hAnsi="Calibri"/>
          <w:b/>
          <w:color w:val="1A2010"/>
          <w:sz w:val="40"/>
        </w:rPr>
        <w:t xml:space="preserve">  Macerich Company (The)</w:t>
      </w:r>
    </w:p>
    <w:p>
      <w:pPr>
        <w:spacing w:after="120"/>
      </w:pPr>
      <w:r>
        <w:rPr>
          <w:rFonts w:ascii="Calibri" w:hAnsi="Calibri"/>
          <w:b/>
          <w:color w:val="6E8450"/>
          <w:sz w:val="18"/>
        </w:rPr>
        <w:t>DIVIDEND SLEEVE · 2026-07-20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Macerich is a fully integrated, self-managed, self-administered real estate investment trust (REIT) and leading owner, operator, and developer of high-quality retail real estate in densely populated U.S. markets. The portfolio is concentrated in California, the Pacific Northwest, Phoenix/Scottsdale, and the Metro New York to Washington, D.C. corridor, currently owning approximately 39 million square feet across 38 retail centers.</w:t>
      </w:r>
    </w:p>
    <w:p>
      <w:r>
        <w:rPr>
          <w:rFonts w:ascii="Calibri" w:hAnsi="Calibri"/>
          <w:b/>
          <w:color w:val="6E8450"/>
          <w:sz w:val="18"/>
        </w:rPr>
        <w:t>596 Employees · https://www.macerich.com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Macerich has pursued mixed-use redevelopment at select properties, converting underperforming retail space into residential, office, and dining, but these projects are incremental rather than transformative — the company remains fundamentally a Class A mall REIT [1]. CEO Jackson Hsieh's 'Path Forward Plan' focuses on financial restructuring (asset sales, debt reduction) rather than business model innovation. AI Deployment (0/2): No evidence of AI-powered products or measurable AI-driven cost savings; the company has not disclosed AI initiatives in earnings calls or investor materials [1][2]. Market Share (1/2): Macerich owns Class A malls in top-tier U.S. markets with high barriers to entry, but the portfolio has shrunk from 47 to 38 properties since 2019 through dispositions, reflecting a managed contraction rather than share gains [1]. Pipeline (1/2): Management projects at least 3% go-forward portfolio center NOI growth for 2026, with acceleration expected in 2027-2028 as SNO (signed not opened) pipeline tenants open and begin paying rent [1]. R&amp;D Intensity (0/1): REITs do not invest in traditional R&amp;D; Macerich's capital expenditures are maintenance- and redevelopment-oriented.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Macerich's stated purpose is 'Creating Properties with Purpose,' describing dedication to advancing environmental goals, social good, and sound corporate governance [3]. The mission clearly identifies what the company does and for whom but is not deeply distinctive — essentially describing responsible REIT management without a transformative vision beyond the industry norm. Community &amp; Charitable Impact (1/2): The MacImpact program encompasses sustainability and social impact; $100M invested in energy efficiency and renewables since 2008, and #1 GRESB ranking for U.S. retail for 10 consecutive years [4]. Net-zero carbon by 2035 in operations and 2040 in supply chain are specific, ambitious targets with a low controversy level (1.0 from Sustainalytics). Employee Retention (0/2): Glassdoor rating of 3.5/5 with 203 reviews reveals concerns: employees cite 'new leadership has changed much of the things people loved' and 'senior leadership driving people away in droves' [5]. No evidence of above-average retention in a 596-person organization undergoing leadership-driven culture change. Insider Buying (1/2): Director Murphy purchased $114,800 in shares, but this was offset by insider sales from Director Lowenthal ($102,780) and Officer Zecchini ($163,068), resulting in roughly neutral to net selling — insufficient to demonstrate leadership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metrics. D/E of 199% reflects heavy REIT leverage well above the 70% target but typical for the sector [2]. ROE remains negative (~-7%) and profit margin is -17.9%, both scoring zero — though these GAAP figures are distorted by depreciation charges inherent to REITs [2]. Revenue has recovered substantially, with TTM revenue of $1.01B up 4.97% YoY, a dramatic improvement from the -17.4% decline reported earlier due to property dispositions [1]. Q1 2026 FFO of $92.4M grew 5.7% YoY, a more meaningful profitability measure for REITs [1]. The 32-year consecutive dividend payment history (since 1994, maintained even at reduced levels during COVID) scores perfectly with 2x weighting, though consecutive years of growth is zero after the 2020 cut from $3.00 to $0.60 [6]. Forward P/E and payout ratio are excluded due to negative GAAP earnings. Liquidity of ~$54M daily traded value passes easily.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Macerich shows elements of long-term thinking through its 32-year dividend history and ESG leadership (GRESB #1 for 10 consecutive years), but the 2020 dividend cut, third CEO in a decade (Jackson Hsieh appointed 2024), and finite-oriented language around 'Path Forward Plan' milestones and asset dispositions suggest a company playing to survive rather than playing to endure. The recent leadership transition and Glassdoor complaints about culture deterioration undermine organizational continuity.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'Creating Properties with Purpose' is a purpose statement that exists but reads as marketing — interchangeable with any responsible REIT [3]. Leadership references it in corporate responsibility materials, but strategic decisions under Hsieh (asset sales, debt reduction, portfolio contraction from 47 to 38 properties) are driven by financial necessity and balance sheet repair rather than an articulated vision of a better future. The purpose does not shape competitive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Macerich's small workforce of 596 employees maintains basic stability, but Glassdoor reviews (3.5/5, 3.6 culture and values) reveal deterioration under new leadership: employees report their CEO has 'changed much of the things people loved about the company' and 'senior leadership are driving people away in droves' [5]. The third CEO in a decade creates organizational whiplash that erodes team trust, though the company is not in crisis-level cultural dysfunction.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Macerich's competitive language focuses on 'leading owner, operator, and developer' positioning and portfolio quality in affluent markets rather than learning from rivals [1]. Management does not reference Simon Property Group or Brookfield as worthy rivals whose strengths inform self-improvement — the competitive framing is about market position and asset quality, not organizational growth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Macerich has shown incremental flexibility by converting underperforming retail into mixed-use developments (residential, office, dining) and executing portfolio rationalization through asset sales [1]. The 'Path Forward Plan' represents strategic adaptation to a post-COVID retail environment. However, these are adaptive responses to industry shifts rather than transformative reinvention — the company remains fundamentally a retail mall REIT without evidence of capability to pivot beyond its core real estate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2020 decision to cut the dividend by 80% (from $3.00 to $0.60) while maintaining payment showed willingness to sacrifice short-term income investor goodwill for balance sheet health [6]. The $100M ESG investment since 2008 and net-zero-by-2035 commitment demonstrate some long-term thinking beyond quarterly results [4]. However, these decisions are increasingly table-stakes for large REITs, and the revolving CEO door (3 in a decade) suggests the board optimizes for operational management rather than courageous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Macerich offers exposure to Class A retail real estate in top-tier U.S. markets (California, Pacific Northwest, Metro NYC-DC corridor) with improving operating fundamentals. Q1 2026 FFO of $92.4M grew 5.7% YoY, TTM revenue reached $1.01B (up 4.97% YoY), and management guides at least 3% go-forward NOI growth for 2026 with acceleration expected in 2027-2028 as SNO pipeline tenants open [1]. The 3.2% dividend yield provides income supported by a 32-year payment history, and GRESB #1 ranking for 10 consecutive years in U.S. retail positions the company for ESG-focused capital flows [4]. Shares trade at $24.75 against properties in affluent, high-barrier-to-entry locations.</w:t>
      </w:r>
    </w:p>
    <w:p>
      <w:pPr>
        <w:spacing w:after="120"/>
      </w:pPr>
      <w:r>
        <w:rPr>
          <w:rFonts w:ascii="Calibri" w:hAnsi="Calibri"/>
          <w:b w:val="0"/>
          <w:color w:val="3A4A28"/>
          <w:sz w:val="20"/>
        </w:rPr>
        <w:t>The bear case centers on persistent negative GAAP fundamentals: -17.9% profit margin, -7% ROE, and 199% D/E ratio reflect a balance sheet still under stress despite improving NOI trends [2]. The dividend was cut 80% in 2020 and consecutive years of growth remains zero, creating uncertainty about future payout sustainability. CEO Jackson Hsieh is the third leader in a decade, and Glassdoor reviews describe culture deterioration under his leadership ('driving people away in droves'), adding execution risk to the 'Path Forward Plan' [5]. The secular shift toward e-commerce continues to pressure mall-based retail despite Class A positioning, and the portfolio contraction from 47 to 38 properties reflects managed decline rather than a growth trajectory. With no clear path to GAAP profitability, the REIT's required dividend payments from thinning FFO create value trap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Path Forward Plan delivering at least 3% NOI growth in 2026 with acceleration to higher rates in 2027-2028 as SNO pipeline tenants begin paying rent, validating the leasing turnaround thesis [1]</w:t>
      </w:r>
    </w:p>
    <w:p>
      <w:pPr>
        <w:spacing w:before="40" w:after="40"/>
        <w:ind w:left="283"/>
      </w:pPr>
      <w:r>
        <w:rPr>
          <w:rFonts w:ascii="Calibri" w:hAnsi="Calibri"/>
          <w:b/>
          <w:color w:val="4A6B25"/>
          <w:sz w:val="20"/>
        </w:rPr>
        <w:t xml:space="preserve">2. </w:t>
      </w:r>
      <w:r>
        <w:rPr>
          <w:rFonts w:ascii="Calibri" w:hAnsi="Calibri"/>
          <w:b w:val="0"/>
          <w:color w:val="3A4A28"/>
          <w:sz w:val="20"/>
        </w:rPr>
        <w:t>Mixed-use redevelopment completions converting underperforming retail into residential and dining, diversifying revenue and increasing property values in high-demand urban markets</w:t>
      </w:r>
    </w:p>
    <w:p>
      <w:pPr>
        <w:spacing w:before="40" w:after="40"/>
        <w:ind w:left="283"/>
      </w:pPr>
      <w:r>
        <w:rPr>
          <w:rFonts w:ascii="Calibri" w:hAnsi="Calibri"/>
          <w:b/>
          <w:color w:val="4A6B25"/>
          <w:sz w:val="20"/>
        </w:rPr>
        <w:t xml:space="preserve">3. </w:t>
      </w:r>
      <w:r>
        <w:rPr>
          <w:rFonts w:ascii="Calibri" w:hAnsi="Calibri"/>
          <w:b w:val="0"/>
          <w:color w:val="3A4A28"/>
          <w:sz w:val="20"/>
        </w:rPr>
        <w:t>Potential interest rate cuts reducing refinancing costs on the substantial debt load, directly improving FFO and making the 3.2% dividend more sustainable while compressing cap rates on Class A retail assets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remains negative (-17.9% margin, -7% ROE) and the 199% D/E ratio limits financial flexibility — if FFO stagnates or interest rates remain elevated, a second dividend cut becomes a real possibility [2]</w:t>
      </w:r>
    </w:p>
    <w:p>
      <w:pPr>
        <w:spacing w:before="40" w:after="40"/>
        <w:ind w:left="283"/>
      </w:pPr>
      <w:r>
        <w:rPr>
          <w:rFonts w:ascii="Calibri" w:hAnsi="Calibri"/>
          <w:b/>
          <w:color w:val="4A6B25"/>
          <w:sz w:val="20"/>
        </w:rPr>
        <w:t xml:space="preserve">2. </w:t>
      </w:r>
      <w:r>
        <w:rPr>
          <w:rFonts w:ascii="Calibri" w:hAnsi="Calibri"/>
          <w:b w:val="0"/>
          <w:color w:val="3A4A28"/>
          <w:sz w:val="20"/>
        </w:rPr>
        <w:t>Third CEO in a decade (Jackson Hsieh appointed 2024) creates strategic execution risk and cultural instability, with Glassdoor reviews citing leadership 'driving people away in droves' from a small 596-person organization [5]</w:t>
      </w:r>
    </w:p>
    <w:p>
      <w:pPr>
        <w:spacing w:before="40" w:after="40"/>
        <w:ind w:left="283"/>
      </w:pPr>
      <w:r>
        <w:rPr>
          <w:rFonts w:ascii="Calibri" w:hAnsi="Calibri"/>
          <w:b/>
          <w:color w:val="4A6B25"/>
          <w:sz w:val="20"/>
        </w:rPr>
        <w:t xml:space="preserve">3. </w:t>
      </w:r>
      <w:r>
        <w:rPr>
          <w:rFonts w:ascii="Calibri" w:hAnsi="Calibri"/>
          <w:b w:val="0"/>
          <w:color w:val="3A4A28"/>
          <w:sz w:val="20"/>
        </w:rPr>
        <w:t>Continued secular shift to e-commerce and experiential retail could reduce tenant demand, with anchor store closures or rent concessions compressing NOI across the shrinking 38-property portfolio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Macerich's core business — owning and operating physical retail real estate in densely populated U.S. markets — is structurally immune to AI displacement [1]. Malls are physical infrastructure assets; AI cannot replicate the in-person shopping, dining, and entertainment experiences that drive foot traffic to Class A properties in affluent locations. No analysts have flagged AI as a substitution risk for premium retail REITs. The primary competitive threat is e-commerce, which predates generative AI and against which Macerich's Class A positioning in high-barrier markets has proven resilient. Physical property management, tenant relationships, and community placemaking are inherently human and local activities. AI Opportunity (0/1): No evidence of AI-driven revenue generation. Macerich has not deployed AI products for tenants or customers, nor reported AI-related efficiency gains in property management or leasing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Macerich Q1 2026 Earnings Release — FFO of $92.4M (up 5.7% YoY), Revenue of $241.54M, NOI Growth Guidance,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MAC Key Statistics (D/E 199%, ROE -7%, Profit Margin -17.9%),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Macerich Corporate Website — 'Creating Properties with Purpose' Mission and Leadership, macerich.com</w:t>
      </w:r>
    </w:p>
    <w:p>
      <w:pPr>
        <w:spacing w:before="20" w:after="20"/>
        <w:ind w:left="170"/>
      </w:pPr>
      <w:r>
        <w:rPr>
          <w:rFonts w:ascii="Calibri" w:hAnsi="Calibri"/>
          <w:b/>
          <w:color w:val="4A6B25"/>
          <w:sz w:val="15"/>
        </w:rPr>
        <w:t xml:space="preserve">4. </w:t>
      </w:r>
      <w:r>
        <w:rPr>
          <w:rFonts w:ascii="Calibri" w:hAnsi="Calibri"/>
          <w:b w:val="0"/>
          <w:color w:val="3A4A28"/>
          <w:sz w:val="17"/>
        </w:rPr>
        <w:t>Macerich Corporate Responsibility Report — GRESB #1 U.S. Retail (10 consecutive years), $100M Energy Investment, Net-Zero-by-2035</w:t>
      </w:r>
    </w:p>
    <w:p>
      <w:pPr>
        <w:spacing w:before="20" w:after="20"/>
        <w:ind w:left="170"/>
      </w:pPr>
      <w:r>
        <w:rPr>
          <w:rFonts w:ascii="Calibri" w:hAnsi="Calibri"/>
          <w:b/>
          <w:color w:val="4A6B25"/>
          <w:sz w:val="15"/>
        </w:rPr>
        <w:t xml:space="preserve">5. </w:t>
      </w:r>
      <w:r>
        <w:rPr>
          <w:rFonts w:ascii="Calibri" w:hAnsi="Calibri"/>
          <w:b w:val="0"/>
          <w:color w:val="3A4A28"/>
          <w:sz w:val="17"/>
        </w:rPr>
        <w:t>Glassdoor — Macerich Employee Reviews (203 reviews, 3.5/5 rating),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MAC Insider Transactions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