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MAS</w:t>
      </w:r>
      <w:r>
        <w:rPr>
          <w:rFonts w:ascii="Calibri" w:hAnsi="Calibri"/>
          <w:b/>
          <w:color w:val="1A2010"/>
          <w:sz w:val="40"/>
        </w:rPr>
        <w:t xml:space="preserve">  Masco Corporation</w:t>
      </w:r>
    </w:p>
    <w:p>
      <w:pPr>
        <w:spacing w:after="120"/>
      </w:pPr>
      <w:r>
        <w:rPr>
          <w:rFonts w:ascii="Calibri" w:hAnsi="Calibri"/>
          <w:b/>
          <w:color w:val="6E8450"/>
          <w:sz w:val="18"/>
        </w:rPr>
        <w:t>GROWTH SLEEVE · 2026-07-12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Masco Corporation designs, manufactures, and distributes home improvement and building products worldwide. Its portfolio includes Behr paint (exclusive to Home Depot), Delta and hansgrohe faucets, Liberty hardware, and HotSpring spas. The company operates through two segments: Plumbing Products and Decorative Architectural Products. Founded in 1929 and headquartered in Livonia, Michigan, Masco focuses on repair/remodel demand after divesting its cabinetry and windows businesses.</w:t>
      </w:r>
    </w:p>
    <w:p>
      <w:r>
        <w:rPr>
          <w:rFonts w:ascii="Calibri" w:hAnsi="Calibri"/>
          <w:b/>
          <w:color w:val="6E8450"/>
          <w:sz w:val="18"/>
        </w:rPr>
        <w:t>18,000 Employees · https://www.masco.com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Masco reshaped its portfolio in 2019-2020 by divesting the cabinetry and windows businesses to focus on the higher-margin repair/remodel segment — a meaningful strategic refocusing but not a transformative new product or business model [1][2]. No major new product categories launched in the last 5 years. AI Deployment (1/2): Masco is exploring AI for customer service (AI-to-human escalation solutions) and considering appointing a Chief AI Officer to coordinate data and automation initiatives across brands — active exploration but no shipping AI products or quantified savings [2]. Market Share (2/2): Dominant category positions — Behr is the #1 paint brand at Home Depot (exclusive relationship), Delta is a top-2 faucet brand in North America, and hansgrohe holds premium positioning in European markets [1]. These are durable, share-leading franchises. Product Pipeline (1/2): Q1 2026 guidance of $4.10-$4.30 adjusted EPS with Plumbing Products growing 9% YoY provides near-term visibility, though Decorative Architectural Products was flat — mixed pipeline momentum [1]. R&amp;D Intensity (0/1): Below industry average; Masco invests primarily in brand building and channel relationships rather than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Masco's purpose centers on 'Making Home Better' through its portfolio of home improvement brands — clear, identifies the homeowner as stakeholder, but generic and interchangeable with any home improvement company [3]. Community Impact (1/2): Corporate citizenship programs, MSCI ESG rating of A, and approximately 50% of revenue derived from sustainable products demonstrate commitment to environmental responsibility, though the programs are standard corporate philanthropy rather than distinctive impact [3]. Employee Retention (0/2): CEO transition underway — new CEO Jonathon Nudi joined from General Mills in 2025, replacing Keith Allman. No specific employee retention data, voluntary turnover rates, or average tenure information available [2]. Insider Buying (0/2): No evidence of meaningful net insider buying by the new CEO or other executives in recent months; leadership transition period limits historical insider transaction relevance.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Masco's balance sheet reflects extreme financial engineering — D/E of approximately 4,230% (42.3x debt-to-equity ratio) due to decades of aggressive share buybacks reducing shareholders' equity to near-zero, which mechanically scores 0 on D/E despite the company maintaining $647M cash and generating robust free cash flow [4]. The same buyback dynamic produces a mathematically extreme ROE of 7,150%+ which scores perfectly but is not economically meaningful [4]. Operating fundamentals are solid: Q1 2026 revenue of $1.918B grew 6% YoY with operating margin improving 60bps to 16.5% and adjusted EPS up 20% to $1.04 [1]. Forward P/E of 17.92 is below the 20x target, and net profit margin of approximately 10.5% is moderate. 5-year revenue CAGR of approximately 1% reflects the housing cycle drag on a repair/remodel business. Liquidity floor easily cleared at ~$201M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Masco is a well-managed industrial company with iconic brands and a 97-year operating history, but Sinek would see a company playing primarily to win this quarter rather than to endure. The recent CEO transition from Keith Allman to Jonathon Nudi (from General Mills) represents a strategy reset rather than continuity of a Just Cause. Portfolio reshaping through divestitures was competent capital allocation but driven by financial optimization rather than purpose. The company's emphasis on EPS guidance, buyback programs, and margin optimization reflects finite-game language.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Masco's purpose of 'Making Home Better' is shallow — it describes what the company does (home improvement products) rather than articulating a future state worth sacrificing for. The CEO transition from Allman to Nudi signals strategy evolution, not cause-driven continuity [2]. Sinek would note that the company's narrative centers on EPS growth, buybacks, and margin targets — the language of finite players optimizing for this quarter.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Masco's decentralized structure with two Group Presidents holding full P&amp;L accountability creates some autonomy, and the company has operated stably without major layoff cycles or cultural crises [2]. However, the CEO transition raises uncertainty about cultural direction, and no specific employee trust data (retention rates, tenure, internal surveys) is publicly available. The recent shift from a long-tenured CEO to an outside hire from General Mills is a disruption to team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Masco's competitive language focuses on market share leadership, exclusive retail relationships, and brand dominance rather than learning from competitors [1]. The company frames its position against Sherwin-Williams (paint), Fortune Brands (plumbing), and others in zero-sum market share terms rather than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cabinetry and windows businesses (2019-2020) to concentrate on repair/remodel was a meaningful strategic evolution that reshaped the company [2]. This required abandoning established revenue streams to sharpen the portfolio. However, these were sales of underperforming businesses rather than a transformative pivot driven by Just Cause — the motivation was financial optimization, not a bet on a better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profitable but lower-margin businesses (cabinetry, windows) showed willingness to shrink revenue for strategic focus. Maintaining the full-year 2026 guidance range of $4.10-$4.30 adjusted EPS despite tariff headwinds and macroeconomic uncertainty demonstrates some conviction [1]. However, these decisions align with shareholder pressure for margin improvement rather than representing courageous long-term bets against near-term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Masco delivered solid Q1 2026 results with revenue of $1.918B (+6% YoY), adjusted EPS of $1.04 (+20%), and operating margin improving 60bps to 16.5%, driven by Plumbing Products growth of 9% while Decorative Architectural Products held flat [1]. Management maintained full-year adjusted EPS guidance of $4.10-$4.30 despite tariff and macro uncertainty. The company's portfolio of category-leading brands — Behr (#1 paint at Home Depot), Delta (#1-2 faucets), hansgrohe (premium European plumbing) — provides durable competitive positioning in the $450B+ home repair/remodel market. Forward P/E of 17.9x represents reasonable valuation for a high-quality industrial franchise with 10.5% net margins and strong free cash flow generation supporting both buybacks and a growing dividend.</w:t>
      </w:r>
    </w:p>
    <w:p>
      <w:pPr>
        <w:spacing w:after="120"/>
      </w:pPr>
      <w:r>
        <w:rPr>
          <w:rFonts w:ascii="Calibri" w:hAnsi="Calibri"/>
          <w:b w:val="0"/>
          <w:color w:val="3A4A28"/>
          <w:sz w:val="20"/>
        </w:rPr>
        <w:t>The bear case centers on cyclical exposure, modest growth, and balance sheet distortion. Revenue has grown only approximately 1% on a 5-year CAGR basis, reflecting the housing cycle headwinds that constrain the repair/remodel market — existing home sales remain depressed by elevated mortgage rates and home price lock-in effects [1]. The D/E ratio of 42.3x (4,230%) due to aggressive buybacks reduces equity to near-zero, creating balance sheet fragility if housing demand deteriorates significantly, despite $647M cash [4]. Tariff headwinds on commodity inputs are expected to exceed any benefits in H2 2026, compressing margins. The CEO transition to Jonathon Nudi from General Mills introduces strategic uncertainty for a company that was reshaping its portfolio under the prior leader. Decorative Architectural Products segment stagnation (flat revenue in Q1) suggests the repair/remodel market may be softer than Plumbing Products indicates.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as mortgage rates decline — every 100bps decrease in rates unlocks existing home turnover that drives repair/remodel spending, Masco's primary revenue driver</w:t>
      </w:r>
    </w:p>
    <w:p>
      <w:pPr>
        <w:spacing w:before="40" w:after="40"/>
        <w:ind w:left="283"/>
      </w:pPr>
      <w:r>
        <w:rPr>
          <w:rFonts w:ascii="Calibri" w:hAnsi="Calibri"/>
          <w:b/>
          <w:color w:val="4A6B25"/>
          <w:sz w:val="20"/>
        </w:rPr>
        <w:t xml:space="preserve">2. </w:t>
      </w:r>
      <w:r>
        <w:rPr>
          <w:rFonts w:ascii="Calibri" w:hAnsi="Calibri"/>
          <w:b w:val="0"/>
          <w:color w:val="3A4A28"/>
          <w:sz w:val="20"/>
        </w:rPr>
        <w:t>Plumbing Products segment sustaining 7-9% organic growth through market share gains in Delta/hansgrohe and international expansion, offsetting Decorative flatness</w:t>
      </w:r>
    </w:p>
    <w:p>
      <w:pPr>
        <w:spacing w:before="40" w:after="40"/>
        <w:ind w:left="283"/>
      </w:pPr>
      <w:r>
        <w:rPr>
          <w:rFonts w:ascii="Calibri" w:hAnsi="Calibri"/>
          <w:b/>
          <w:color w:val="4A6B25"/>
          <w:sz w:val="20"/>
        </w:rPr>
        <w:t xml:space="preserve">3. </w:t>
      </w:r>
      <w:r>
        <w:rPr>
          <w:rFonts w:ascii="Calibri" w:hAnsi="Calibri"/>
          <w:b w:val="0"/>
          <w:color w:val="3A4A28"/>
          <w:sz w:val="20"/>
        </w:rPr>
        <w:t>New CEO Jonathon Nudi articulating a growth strategy that accelerates innovation and AI adoption across brands while maintaining operational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elevated mortgage rates suppressing existing home turnover and repair/remodel activity — Masco's 5-year revenue CAGR of 1% reflects this structural headwind that persists while rates remain above 6%</w:t>
      </w:r>
    </w:p>
    <w:p>
      <w:pPr>
        <w:spacing w:before="40" w:after="40"/>
        <w:ind w:left="283"/>
      </w:pPr>
      <w:r>
        <w:rPr>
          <w:rFonts w:ascii="Calibri" w:hAnsi="Calibri"/>
          <w:b/>
          <w:color w:val="4A6B25"/>
          <w:sz w:val="20"/>
        </w:rPr>
        <w:t xml:space="preserve">2. </w:t>
      </w:r>
      <w:r>
        <w:rPr>
          <w:rFonts w:ascii="Calibri" w:hAnsi="Calibri"/>
          <w:b w:val="0"/>
          <w:color w:val="3A4A28"/>
          <w:sz w:val="20"/>
        </w:rPr>
        <w:t>Tariff and commodity cost inflation exceeding pricing power — management flagged H2 2026 headwinds from input costs that could compress operating margins below the 16.5% Q1 level</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from 42.3x D/E ratio and $2.57B net debt position — while serviceable in a normal environment, a severe housing downturn could pressure liquidity and force dividend or buyback curtailment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Masco's core business involves physical product manufacturing (paint, faucets, hardware, spas), retail distribution through Home Depot/Lowe's, and trade contractor relationships — all requiring physical-world capabilities that AI cannot substitute [2]. Paint formulation, faucet engineering, and manufacturing processes are deeply physical. The exclusive Behr-Home Depot relationship and brand equity with contractors create switching costs beyond AI's reach. However, AI could modestly impact the business through automated design tools that change how consumers select products, AI-powered competitive product recommendations, or shifts in home improvement retail dynamics. AI Opportunity (0/1): Masco is exploring AI for customer service (AI-to-human escalation) and considering a Chief AI Officer, but no AI products are shipping to customers and no AI-driven revenue has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Masco Corporation Q1 2026 Earnings Release — investor.masco.com, April 22, 2026</w:t>
      </w:r>
    </w:p>
    <w:p>
      <w:pPr>
        <w:spacing w:before="20" w:after="20"/>
        <w:ind w:left="170"/>
      </w:pPr>
      <w:r>
        <w:rPr>
          <w:rFonts w:ascii="Calibri" w:hAnsi="Calibri"/>
          <w:b/>
          <w:color w:val="4A6B25"/>
          <w:sz w:val="15"/>
        </w:rPr>
        <w:t xml:space="preserve">2. </w:t>
      </w:r>
      <w:r>
        <w:rPr>
          <w:rFonts w:ascii="Calibri" w:hAnsi="Calibri"/>
          <w:b w:val="0"/>
          <w:color w:val="3A4A28"/>
          <w:sz w:val="17"/>
        </w:rPr>
        <w:t>Masco Corporation Leadership, CEO Transition, and AI Strategy — LinkedIn, Investing.com, The Org,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Masco Corporation ESG and Sustainability — KnowESG (MSCI A rating), masco.com Corporate Citizenship,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and Yahoo Finance — MAS Key Statistics, Valuation,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