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METC</w:t>
      </w:r>
      <w:r>
        <w:rPr>
          <w:rFonts w:ascii="Calibri" w:hAnsi="Calibri"/>
          <w:b/>
          <w:color w:val="1A2010"/>
          <w:sz w:val="40"/>
        </w:rPr>
        <w:t xml:space="preserve">  Ramaco Resources, Inc.</w:t>
      </w:r>
    </w:p>
    <w:p>
      <w:pPr>
        <w:spacing w:after="120"/>
      </w:pPr>
      <w:r>
        <w:rPr>
          <w:rFonts w:ascii="Calibri" w:hAnsi="Calibri"/>
          <w:b/>
          <w:color w:val="6E8450"/>
          <w:sz w:val="18"/>
        </w:rPr>
        <w:t>GROWTH SLEEVE · 2026-07-11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Coking Coal · NasdaqGS · United States</w:t>
      </w:r>
    </w:p>
    <w:p>
      <w:pPr>
        <w:spacing w:after="80"/>
      </w:pPr>
      <w:r>
        <w:rPr>
          <w:rFonts w:ascii="Calibri" w:hAnsi="Calibri"/>
          <w:b w:val="0"/>
          <w:color w:val="3A4A28"/>
          <w:sz w:val="20"/>
        </w:rPr>
        <w:t>Ramaco Resources is a dual-platform critical mineral company operating as both a leading producer of high-quality, low-cost metallurgical coal in Central Appalachia and a developing producer of rare earth elements and critical minerals from coal deposits in Wyoming. Approximately two-thirds of metallurgical coal production is exported to international markets. The company's Brook Mine project in Sheridan, Wyoming represents a potentially transformative rare earth and critical minerals initiative, with Ramaco developing a proprietary carbochlorination processing technology and establishing strategic partnerships including an MOU with REalloys Inc. and a CRADA with the DOE's National Energy Technology Laboratory.</w:t>
      </w:r>
    </w:p>
    <w:p>
      <w:r>
        <w:rPr>
          <w:rFonts w:ascii="Calibri" w:hAnsi="Calibri"/>
          <w:b/>
          <w:color w:val="6E8450"/>
          <w:sz w:val="18"/>
        </w:rPr>
        <w:t>900 Employees · https://www.ramacoresources.com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Ramaco's core metallurgical coal business delivered declining results in FY2025, with total met coal revenue of $536.6M versus $666.3M in 2024 and a full-year net loss of $51.4M [1]. Q1 2026 continued the negative trajectory with a net loss of $18.3M on revenue of $121.6M and negative adjusted EBITDA of $1.8M [2]. The core business showed no innovative differentiation in a commodity market. AI Deployment (0/2): No evidence of AI-powered products, mining automation, or AI-driven operational efficiencies. Market Share (1/2): Ramaco is a recognized mid-tier US metallurgical coal producer with 2026 sales commitments of 3.1M tons as of February 2026, and anticipates cash cost of sales in the $95-100/ton range [2]. The company holds no pricing power in what is a global commodity market, though its low-cost position provides relative advantage during downturns. Product Pipeline (2/2): The Brook Mine rare earth and critical minerals project represents genuinely innovative diversification. Ramaco developed a proprietary carbochlorination flowsheet — a patent-pending alternative to conventional hydrometallurgical solvent extraction — that offers an expanded product suite, ability to extract rare earths from coal, simplified logistics, and reduced complexity [3]. The company signed an MOU with REalloys Inc. for Mixed Rare Earth Carbonate supply, executed a CRADA with the DOE's NETL for collaborative research, and broke ground on a pilot processing plant and lab [3][4]. R&amp;D Intensity (1/1): The development of a proprietary carbochlorination flowsheet with an internal critical mineral processing team, combined with DOE partnership and patent-pending processes, represents R&amp;D investment well above coal industry norms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Ramaco's dual-platform positioning as both a metallurgical coal producer and critical minerals developer reflects a strategic evolution toward national critical mineral independence. CEO Randall Atkins was appointed to the re-established National Coal Council by Secretary of Energy Chris Wright, demonstrating policy-level engagement [5]. The critical minerals mission — building a domestic REE supply chain to reduce U.S. dependence on China — has genuine national security significance. However, the core business remains commodity coal mining, and the company has not articulated a purpose that transcends its economic interests. Community Impact (1/2): Ramaco's coal mining operations in Central Appalachia provide employment in economically challenged communities, and the Brook Mine project in Wyoming creates additional rural economic opportunity. The Inspire Impact Score of 37 (ALIGNED) with 13 positive ESG attributions across environmental, labor, and ethical dimensions reflects responsible operational practices [6]. Employee Retention (0/2): With 900 employees and average management tenure of only 3.3 years, the leadership team is relatively new [5]. No employee satisfaction, retention, or culture data was identified beyond basic organizational metrics. Mining industry turnover is typically high. Insider Buying (1/2): Founder and CEO Randall Atkins has led the company since 2015 and was appointed CEO in 2021, maintaining ownership alignment. The company repurchased $37M in shares during Q1 2026 despite operating losses, signaling management confidence in the long-term strategy [2]. However, the prior screening period identified very large insider sales by Director Bryan Lawrence ($27.9M in March 2026), which significantly tempers this score.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Ramaco's financial profile is under significant stress. Full-year 2025 met coal revenue declined 19.5% to $536.6M with a full-year net loss of $51.4M, and quarterly losses persisted throughout 2025 ranging from $9.5M to $14.7M per quarter [1]. Q1 2026 continued deterioration with a net loss of $18.3M on revenue of $121.6M and negative adjusted EBITDA of $1.8M [2]. Profit margin of -11.52% and ROE of -15.22% reflect sustained cash burn. Debt-to-equity of 107.3% is elevated for a cyclical commodity business, creating financial vulnerability in a prolonged met coal downturn. Forward P/E of 189.7x reflects near-zero earnings expectations and is essentially meaningless as a valuation metric. Revenue growth of -9.7% indicates the core business continues contracting, though the rate of decline has moderated from -25.1% in the prior period. The dividend yield of 1.76% is being paid despite operating losses, raising sustainability concerns. Average daily volume of 1,532,211 shares at $12.33 yields $18.9M daily dollar volume, passing the liquidity floor but with declining trading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Ramaco Resources displays a mixed infinite game profile. The boldest infinite game signal is the transformative pivot from pure metallurgical coal producer to dual-platform critical minerals company, investing heavily in the Brook Mine rare earth project and developing proprietary carbochlorination processing technology while the core business loses money. CEO Randall Atkins' long-term vision for critical mineral independence and his appointment to the National Coal Council reflect genuine strategic thinking beyond the current cycle. However, short management tenure, commodity business dynamics, paying dividends while unprofitable, and prior massive insider selling by a board member introduce significant finite game pressures.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Ramaco's dual-platform positioning serves two purposes — supplying metallurgical coal to global steelmakers and building a domestic rare earth supply chain to reduce U.S. dependence on China [3][5]. The critical minerals mission has genuine national security significance, and CEO Atkins' appointment to the National Coal Council by Secretary of Energy Chris Wright reflects policy-level engagement. However, the company has not articulated a purpose that transcends its business interests — the critical minerals pivot, while strategically bold, is primarily a diversification and value creation strategy rather than a cause-driven initiative.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900 employees and average management tenure of only 3.3 years, Ramaco's leadership team is relatively new and the organizational culture is still developing [5]. Mining operations in Central Appalachia face industry-wide challenges with worker recruitment and retention. No specific employee satisfaction, cultural certifications, or trust indicators were identified. The board of directors has average tenure of 5.4 years, providing somewhat more institutional stability. Prior employee reviews noted a 'professional and kind' workplace with genuine safety culture, which is notable in coal mining.</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Ramaco competes against other metallurgical coal producers (Arch Resources, Warrior Met Coal) and potentially against Chinese rare earth producers in its new critical minerals business. No evidence was found of management articulating how competitors' strengths inform Ramaco's strategy or of using rivals for self-improvement. Investor communications focus on production volumes, costs, and pricing without reference to learning from peers.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Ramaco's pivot from a pure metallurgical coal producer to a dual-platform critical minerals company represents genuine existential flexibility. The company raised nearly $1B to invest in the Brook Mine rare earth project, developed a proprietary carbochlorination processing technology (a patent-pending alternative to conventional solvent extraction), signed an MOU with REalloys for rare earth supply, executed a CRADA with the DOE's NETL, and broke ground on a pilot processing plant and lab [3][4][5]. Pursuing a fundamentally different business model while the core coal operation is losing money demonstrates willingness to invest in a transformative future. This is among the boldest strategic pivots in the small-cap mining space.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Randall Atkins has made bold bets — raising nearly $1B to fund the rare earth pivot, developing proprietary processing technology, and maintaining the critical minerals investment while the core met coal business operates at a loss [2][5]. His appointment to the National Coal Council and CNBC appearances demonstrate policy engagement and public advocacy. However, paying dividends (1.76% yield) while losing money and repurchasing $37M in shares during Q1 2026 despite negative EBITDA raises questions about capital allocation discipline. Prior screening identified $27.9M in stock sales by Director Lawrence in a single month, suggesting not all leadership shares Atkins' long-term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Ramaco Resources is a speculative dual-platform story — a struggling metallurgical coal producer making a bold pivot into rare earth elements and critical minerals. The core met coal business generated $536.6M in FY2025 revenue (down 19.5% YoY) with a net loss of $51.4M, and Q1 2026 continued deterioration with an $18.3M loss on $121.6M revenue and negative adjusted EBITDA of $1.8M [1][2]. The investment case rests primarily on the Brook Mine rare earth project in Wyoming, where Ramaco has developed a proprietary carbochlorination flowsheet for REE processing, signed strategic partnerships including an MOU with REalloys and a CRADA with the DOE's NETL, broke ground on a pilot processing plant, and raised nearly $1B to fund development [3][4][5]. The critical minerals thesis has genuine strategic merit — U.S. dependence on Chinese rare earth supply is a national security vulnerability, and CEO Atkins' appointment to the National Coal Council positions Ramaco at the intersection of policy and commercial opportunity.</w:t>
      </w:r>
    </w:p>
    <w:p>
      <w:pPr>
        <w:spacing w:after="120"/>
      </w:pPr>
      <w:r>
        <w:rPr>
          <w:rFonts w:ascii="Calibri" w:hAnsi="Calibri"/>
          <w:b w:val="0"/>
          <w:color w:val="3A4A28"/>
          <w:sz w:val="20"/>
        </w:rPr>
        <w:t>The fundamental challenge is that Ramaco is a commodity met coal company with deeply negative financials — profit margin of -11.52%, ROE of -15.22%, revenue declining 9.7% — attempting a capital-intensive technology pivot into rare earth processing [1][2]. The Brook Mine project is pre-revenue, the pilot processing plant is still under construction, and commercialization timelines remain uncertain. The proprietary carbochlorination flowsheet has not been demonstrated at commercial scale. Forward P/E of 189.7x reflects near-zero earnings expectations and provides no valuation anchor. Debt-to-equity of 107.3% is concerning for a cyclical commodity business in a downturn, and the company is paying a 1.76% dividend and repurchased $37M in shares in Q1 2026 despite operating losses — capital allocation that prioritizes shareholder appeasement over financial prudence. Metallurgical coal pricing remains depressed with no near-term recovery catalyst, and the global met coal market faces secular headwinds from electric arc furnace steelmaking growth and hydrogen-based direct reduction iron. The prior screening also identified massive insider selling by Director Lawrence ($27.9M) that undermines the confidence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commissioning of the Brook Mine pilot processing plant and validation of the proprietary carbochlorination flowsheet at scale, which would de-risk the critical minerals thesis and potentially trigger significant re-rating of the stock</w:t>
      </w:r>
    </w:p>
    <w:p>
      <w:pPr>
        <w:spacing w:before="40" w:after="40"/>
        <w:ind w:left="283"/>
      </w:pPr>
      <w:r>
        <w:rPr>
          <w:rFonts w:ascii="Calibri" w:hAnsi="Calibri"/>
          <w:b/>
          <w:color w:val="4A6B25"/>
          <w:sz w:val="20"/>
        </w:rPr>
        <w:t xml:space="preserve">2. </w:t>
      </w:r>
      <w:r>
        <w:rPr>
          <w:rFonts w:ascii="Calibri" w:hAnsi="Calibri"/>
          <w:b w:val="0"/>
          <w:color w:val="3A4A28"/>
          <w:sz w:val="20"/>
        </w:rPr>
        <w:t>Recovery in global metallurgical coal pricing driven by infrastructure spending, emerging market steel demand, or supply disruptions, which would restore profitability to the core business and provide self-funded capital for the rare earth pivot</w:t>
      </w:r>
    </w:p>
    <w:p>
      <w:pPr>
        <w:spacing w:before="40" w:after="40"/>
        <w:ind w:left="283"/>
      </w:pPr>
      <w:r>
        <w:rPr>
          <w:rFonts w:ascii="Calibri" w:hAnsi="Calibri"/>
          <w:b/>
          <w:color w:val="4A6B25"/>
          <w:sz w:val="20"/>
        </w:rPr>
        <w:t xml:space="preserve">3. </w:t>
      </w:r>
      <w:r>
        <w:rPr>
          <w:rFonts w:ascii="Calibri" w:hAnsi="Calibri"/>
          <w:b w:val="0"/>
          <w:color w:val="3A4A28"/>
          <w:sz w:val="20"/>
        </w:rPr>
        <w:t>U.S. government policy support for domestic critical minerals production — including potential DOE grants, tax credits, strategic reserves purchases, or defense procurement mandates — which would accelerate Brook Mine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met coal business is unprofitable with -11.52% profit margin, declining revenue, and negative EBITDA, creating cash burn pressure that could force dilutive capital raises or strategic compromises on the rare earth pivot</w:t>
      </w:r>
    </w:p>
    <w:p>
      <w:pPr>
        <w:spacing w:before="40" w:after="40"/>
        <w:ind w:left="283"/>
      </w:pPr>
      <w:r>
        <w:rPr>
          <w:rFonts w:ascii="Calibri" w:hAnsi="Calibri"/>
          <w:b/>
          <w:color w:val="4A6B25"/>
          <w:sz w:val="20"/>
        </w:rPr>
        <w:t xml:space="preserve">2. </w:t>
      </w:r>
      <w:r>
        <w:rPr>
          <w:rFonts w:ascii="Calibri" w:hAnsi="Calibri"/>
          <w:b w:val="0"/>
          <w:color w:val="3A4A28"/>
          <w:sz w:val="20"/>
        </w:rPr>
        <w:t>Brook Mine rare earth project is pre-revenue with unproven processing technology — the proprietary carbochlorination flowsheet has not been demonstrated at commercial scale, and commercialization timelines remain highly uncertain amid prior scrutiny from short-sellers</w:t>
      </w:r>
    </w:p>
    <w:p>
      <w:pPr>
        <w:spacing w:before="40" w:after="40"/>
        <w:ind w:left="283"/>
      </w:pPr>
      <w:r>
        <w:rPr>
          <w:rFonts w:ascii="Calibri" w:hAnsi="Calibri"/>
          <w:b/>
          <w:color w:val="4A6B25"/>
          <w:sz w:val="20"/>
        </w:rPr>
        <w:t xml:space="preserve">3. </w:t>
      </w:r>
      <w:r>
        <w:rPr>
          <w:rFonts w:ascii="Calibri" w:hAnsi="Calibri"/>
          <w:b w:val="0"/>
          <w:color w:val="3A4A28"/>
          <w:sz w:val="20"/>
        </w:rPr>
        <w:t>Paying dividends (1.76% yield) and repurchasing shares ($37M in Q1 2026) while operating at a loss, combined with prior massive insider selling by a board director ($27.9M), raises capital allocation and insider conviction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Ramaco's core businesses — underground metallurgical coal mining and rare earth element extraction — are fundamentally physical operations that AI cannot substitute. Mining requires geological expertise, heavy equipment operation, safety management, and physical labor in underground environments [1]. The commodity nature of met coal means the product itself has no AI-related obsolescence risk — steel production requires metallurgical coal as a chemical reductant regardless of AI advancement. The rare earth elements project is similarly physical, involving mineral extraction, chemical processing, and supply chain logistics [3]. The only AI risk vector is indirect: if AI accelerates the transition to alternative steelmaking methods (hydrogen-based direct reduction) or alternative materials, long-term met coal demand could decline, but this is a multi-decade transition rather than a near-term threat. AI Opportunity (0/1): While AI could theoretically enhance mining operations through predictive maintenance, geological modeling, and safety monitoring, Ramaco has not deployed or disclosed any AI-specific initiatives. The company's rare earth deposits could indirectly supply AI hardware supply chains in the future, but this is speculative and pre-revenue.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Ramaco Resources FY2025 Fourth Quarter and Full-Year Results — PR 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Ramaco Resources Q1 2026 Earnings Release — PR Newswire / StockTitan, July 2026</w:t>
      </w:r>
    </w:p>
    <w:p>
      <w:pPr>
        <w:spacing w:before="20" w:after="20"/>
        <w:ind w:left="170"/>
      </w:pPr>
      <w:r>
        <w:rPr>
          <w:rFonts w:ascii="Calibri" w:hAnsi="Calibri"/>
          <w:b/>
          <w:color w:val="4A6B25"/>
          <w:sz w:val="15"/>
        </w:rPr>
        <w:t xml:space="preserve">3. </w:t>
      </w:r>
      <w:r>
        <w:rPr>
          <w:rFonts w:ascii="Calibri" w:hAnsi="Calibri"/>
          <w:b w:val="0"/>
          <w:color w:val="3A4A28"/>
          <w:sz w:val="17"/>
        </w:rPr>
        <w:t>Ramaco Resources Carbochlorination Flowsheet, Brook Mine Pilot Plant, and REE Development — SEC Form 8-K / PR Newswire, 2025-2026</w:t>
      </w:r>
    </w:p>
    <w:p>
      <w:pPr>
        <w:spacing w:before="20" w:after="20"/>
        <w:ind w:left="170"/>
      </w:pPr>
      <w:r>
        <w:rPr>
          <w:rFonts w:ascii="Calibri" w:hAnsi="Calibri"/>
          <w:b/>
          <w:color w:val="4A6B25"/>
          <w:sz w:val="15"/>
        </w:rPr>
        <w:t xml:space="preserve">4. </w:t>
      </w:r>
      <w:r>
        <w:rPr>
          <w:rFonts w:ascii="Calibri" w:hAnsi="Calibri"/>
          <w:b w:val="0"/>
          <w:color w:val="3A4A28"/>
          <w:sz w:val="17"/>
        </w:rPr>
        <w:t>Ramaco Resources REalloys MOU and DOE NETL CRADA Announcements — PR Newswire / TipRanks, 2025-2026</w:t>
      </w:r>
    </w:p>
    <w:p>
      <w:pPr>
        <w:spacing w:before="20" w:after="20"/>
        <w:ind w:left="170"/>
      </w:pPr>
      <w:r>
        <w:rPr>
          <w:rFonts w:ascii="Calibri" w:hAnsi="Calibri"/>
          <w:b/>
          <w:color w:val="4A6B25"/>
          <w:sz w:val="15"/>
        </w:rPr>
        <w:t xml:space="preserve">5. </w:t>
      </w:r>
      <w:r>
        <w:rPr>
          <w:rFonts w:ascii="Calibri" w:hAnsi="Calibri"/>
          <w:b w:val="0"/>
          <w:color w:val="3A4A28"/>
          <w:sz w:val="17"/>
        </w:rPr>
        <w:t>Ramaco Resources CEO Randall Atkins National Coal Council Appointment and CNBC Appearances — PR Newswire, 2026</w:t>
      </w:r>
    </w:p>
    <w:p>
      <w:pPr>
        <w:spacing w:before="20" w:after="20"/>
        <w:ind w:left="170"/>
      </w:pPr>
      <w:r>
        <w:rPr>
          <w:rFonts w:ascii="Calibri" w:hAnsi="Calibri"/>
          <w:b/>
          <w:color w:val="4A6B25"/>
          <w:sz w:val="15"/>
        </w:rPr>
        <w:t xml:space="preserve">6. </w:t>
      </w:r>
      <w:r>
        <w:rPr>
          <w:rFonts w:ascii="Calibri" w:hAnsi="Calibri"/>
          <w:b w:val="0"/>
          <w:color w:val="3A4A28"/>
          <w:sz w:val="17"/>
        </w:rPr>
        <w:t>Inspire Insight — METC ESG Impact Assessment,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