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MFC</w:t>
      </w:r>
      <w:r>
        <w:rPr>
          <w:rFonts w:ascii="Calibri" w:hAnsi="Calibri"/>
          <w:b/>
          <w:color w:val="1A2010"/>
          <w:sz w:val="40"/>
        </w:rPr>
        <w:t xml:space="preserve">  Manulife Financial Corporation</w:t>
      </w:r>
    </w:p>
    <w:p>
      <w:pPr>
        <w:spacing w:after="120"/>
      </w:pPr>
      <w:r>
        <w:rPr>
          <w:rFonts w:ascii="Calibri" w:hAnsi="Calibri"/>
          <w:b/>
          <w:color w:val="6E8450"/>
          <w:sz w:val="18"/>
        </w:rPr>
        <w:t>DIVIDEND SLEEVE · 2026-07-14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Life Insurance · NYSE · Canada</w:t>
      </w:r>
    </w:p>
    <w:p>
      <w:pPr>
        <w:spacing w:after="80"/>
      </w:pPr>
      <w:r>
        <w:rPr>
          <w:rFonts w:ascii="Calibri" w:hAnsi="Calibri"/>
          <w:b w:val="0"/>
          <w:color w:val="3A4A28"/>
          <w:sz w:val="20"/>
        </w:rPr>
        <w:t>Manulife Financial Corporation is a leading international financial services provider offering insurance, wealth and asset management, and banking solutions. Operating as Manulife in Canada and Asia and as John Hancock in the United States, the company serves millions of customers across these key markets. Manulife Investment Management manages approximately $900B+ in assets. Founded in 1887, headquartered in Toronto, Ontario, Canada.</w:t>
      </w:r>
    </w:p>
    <w:p>
      <w:r>
        <w:rPr>
          <w:rFonts w:ascii="Calibri" w:hAnsi="Calibri"/>
          <w:b/>
          <w:color w:val="6E8450"/>
          <w:sz w:val="18"/>
        </w:rPr>
        <w:t>37,000 Employees · https://www.manulife.com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Manulife delivered strong Q1 2026 results with core earnings of $1.8B (up 8% constant currency), APE sales up 7% to $2.8B, and new business CSM growth of 16% to $1.0B [1]. Asia achieved 22% core earnings growth, demonstrating the company's successful geographic diversification strategy. However, insurance product innovation remains incremental rather than transformative. AI Deployment (2/2): Manulife has made AI a CEO-level strategic priority, appointing Jodie Wallis as Chief AI Officer to the Executive Leadership Team with an expanded AI and enterprise data mandate [2]. The company has embedded approximately 200 data science and machine learning experts across the organization, turning AI from a niche experiment into integrated operational capability. The "AI flywheel" approach — adopting, inventing, selecting, and scaling innovations — represents a sophisticated AI deployment framework [3]. Market Share (1/2): Manulife is one of the largest life insurers globally, dominant in Canada and growing rapidly in Asia, but faces intense competition from MetLife, Prudential, AIA, and others in each market. Product Pipeline (0/2): Insurance and wealth management products are relatively commoditized. Innovation is operational and distribution-focused rather than product-based. R&amp;D Intensity (1/1): Significant investment in AI, digital capabilities, and data science infrastructure for an insurance company, particularly the 200-person AI/ML team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Manulife's purpose of "making decisions easier, lives better" is clear and has been validated across 139 years of continuous operation through multiple economic cycles [1]. The mission connects directly to customer outcomes in insurance, wealth management, and retirement planning. CEO Phil Witherington's emphasis on responsible AI scaling to "deliver value and improve the customer experience" demonstrates purpose-aligned leadership [2]. Community Impact (1/2): Manulife's Impact Agenda focuses on health and well-being, inclusive economic opportunity, and climate-related investment. UN Global Compact signatory since 2022 and TCFD supporter since 2017 demonstrate sustained ESG commitment [4]. However, no standout community initiatives were identified beyond standard corporate programs. Employee Retention (1/2): 37,000 employees across global operations. Leadership emphasizes building a workforce "prepared to adopt new tools and lead through change" rather than imposing technology from above [3]. However, insurance industry faces structural talent challenges, and specific retention metrics are not publicly available. Insider Buying (1/2): Limited publicly available insider buying data for the most recent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Manulife presents a compelling value proposition with strong fundamentals. Forward P/E of 13.21 and PEG of 0.78 indicate the stock is attractively valued relative to earnings growth [5]. Debt-to-equity of 26.1% is conservative and well below insurance industry averages, with $22.4B in cash against $16.2B in debt providing substantial liquidity [5]. ROE of 13.1% is solid for a diversified insurer, and profit margin of 18.5% reflects operational discipline [5]. Core EPS growth of 11% YoY in Q1 2026 demonstrates consistent earnings momentum, building on the 8% core EPS growth achieved in FY2025 [1]. The dividend yield of 3.44% is supported by a 54% payout ratio — sustainable and with room for continued 10%+ annual increases. Consecutive dividend growth of 10+ years at an 11% CAGR provides attractive income compounding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Manulife under CEO Witherington demonstrates solid infinite game characteristics for a financial services incumbent. The 139-year operating history, commitment to AI transformation as a CEO-level priority, aggressive Asia expansion, and sustained dividend growth reflect long-term orientation. The elevation of the Chief AI Officer to the Executive Leadership Team signals willingness to invest in capabilities that may take years to fully monetize. However, insurance is inherently a more incremental, regulation-bound industry where transformative flexibility is constrained.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"Making decisions easier, lives better" is a purpose that has guided Manulife for 139 years across insurance, wealth management, and banking [1]. The mission is tangible and connects to real customer outcomes — helping people navigate financial decisions, protect their families, and plan for retirement. However, the purpose is broadly shared across the insurance industry and does not uniquely differentiate Manulife from competitors like MetLife or Prudential.</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Manulife's leadership philosophy emphasizes culture over technology — the Canada CEO explicitly warned that "culture, not tech, is holding insurers back," signaling awareness that organizational trust matters more than tools [3]. The practice of normalizing the copying of useful initiatives across teams — turning isolated wins into shared playbooks — reflects a culture of collaboration over internal competition. The elevation of Chief AI Officer to the ELT demonstrates trust in cross-functional expertise. The 37,000-employee organization maintains cohesion across Canada, U.S. (John Hancock), and Asia operations.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Manulife acknowledges competitive threats from fintech/insurtech disruptors and uses them as motivation to transform. The AI flywheel framework was explicitly designed to match the agility of technology-native competitors while leveraging Manulife's scale advantages [3]. The company competes against AIA in Asia, MetLife in the U.S., and Sun Life in Canada, using each rival's strengths to sharpen its own strategic focus.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Manulife is pivoting toward a digital-first, AI-enabled insurance platform and expanding its Asia footprint as the primary growth engine (22% core earnings growth in Q1 2026) [1]. The company is also growing its asset management business beyond traditional insurance. However, these pivots are evolutionary rather than revolutionary — the core business model of underwriting risk and managing money remains fundamentally unchanged. The insurance industry's regulatory constraints naturally limit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Making AI a CEO-level agenda item and appointing a Chief AI Officer to the Executive Leadership Team represents a bold organizational bet for a 139-year-old insurer [2]. The aggressive expansion in Asia — where Manulife competes against well-funded local and regional competitors — requires sustained capital commitment and patience. The 10%+ annual dividend increase over the past decade, maintained through market volatility, demonstrates confidence in the business's earnings durability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Manulife offers a compelling combination of value, income, and growth at a forward P/E of 13.21 and PEG of 0.78 — among the most attractively valued large-cap financial services companies globally [5]. Core EPS grew 11% in Q1 2026, with Asia delivering 22% core earnings growth and new business CSM up 16% to $1.0B, demonstrating sustained momentum across all segments [1]. The 3.44% dividend yield, supported by a 54% payout ratio and 10+ consecutive years of ~11% annual increases, provides attractive income compounding with a margin of safety. The company's AI-forward strategy — with a Chief AI Officer on the ELT and 200 embedded AI/ML experts — positions Manulife ahead of insurance peers in the digital transformation race [2][3].</w:t>
      </w:r>
    </w:p>
    <w:p>
      <w:pPr>
        <w:spacing w:after="120"/>
      </w:pPr>
      <w:r>
        <w:rPr>
          <w:rFonts w:ascii="Calibri" w:hAnsi="Calibri"/>
          <w:b w:val="0"/>
          <w:color w:val="3A4A28"/>
          <w:sz w:val="20"/>
        </w:rPr>
        <w:t>The primary concern is Manulife's exposure to macroeconomic and currency risks as a Canadian insurer with significant international operations. The U.S. dollar listing adds translation risk for Canadian and Asian earnings that can dampen reported results. While the PEG of 0.78 suggests undervaluation, insurance companies often trade at discounts due to earnings opacity — complex reserving assumptions, investment portfolio mark-to-market volatility, and regulatory capital requirements make true earnings power difficult to assess [5]. Asia growth, while impressive, exposes Manulife to geopolitical risk (China, Hong Kong) and regulatory uncertainty in emerging markets. The 37,000-employee organization faces execution risk in its AI transformation — cultural change across a global insurer is more challenging than technology deployment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Asia earnings growth above 20% would validate the geographic diversification strategy and support multiple expansion from current depressed insurance-sector valuations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efficiency improvements generating measurable cost savings and underwriting improvements, validating the 200-person AI/ML investment [2][3]</w:t>
      </w:r>
    </w:p>
    <w:p>
      <w:pPr>
        <w:spacing w:before="40" w:after="40"/>
        <w:ind w:left="283"/>
      </w:pPr>
      <w:r>
        <w:rPr>
          <w:rFonts w:ascii="Calibri" w:hAnsi="Calibri"/>
          <w:b/>
          <w:color w:val="4A6B25"/>
          <w:sz w:val="20"/>
        </w:rPr>
        <w:t xml:space="preserve">3. </w:t>
      </w:r>
      <w:r>
        <w:rPr>
          <w:rFonts w:ascii="Calibri" w:hAnsi="Calibri"/>
          <w:b w:val="0"/>
          <w:color w:val="3A4A28"/>
          <w:sz w:val="20"/>
        </w:rPr>
        <w:t>Dividend growth maintaining the 10%+ annual increase cadence, with the 54% payout ratio providing room for continued raises alongside mid-single-digit earnings growth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Currency translation risk from Canadian dollar and Asian currency exposure could dampen U.S. dollar-reported earnings growth, particularly in periods of dollar strength</w:t>
      </w:r>
    </w:p>
    <w:p>
      <w:pPr>
        <w:spacing w:before="40" w:after="40"/>
        <w:ind w:left="283"/>
      </w:pPr>
      <w:r>
        <w:rPr>
          <w:rFonts w:ascii="Calibri" w:hAnsi="Calibri"/>
          <w:b/>
          <w:color w:val="4A6B25"/>
          <w:sz w:val="20"/>
        </w:rPr>
        <w:t xml:space="preserve">2. </w:t>
      </w:r>
      <w:r>
        <w:rPr>
          <w:rFonts w:ascii="Calibri" w:hAnsi="Calibri"/>
          <w:b w:val="0"/>
          <w:color w:val="3A4A28"/>
          <w:sz w:val="20"/>
        </w:rPr>
        <w:t>Insurance industry earnings opacity — complex reserving, investment portfolio volatility, and regulatory capital requirements make true profitability difficult to assess, contributing to persistent valuation discounts</w:t>
      </w:r>
    </w:p>
    <w:p>
      <w:pPr>
        <w:spacing w:before="40" w:after="40"/>
        <w:ind w:left="283"/>
      </w:pPr>
      <w:r>
        <w:rPr>
          <w:rFonts w:ascii="Calibri" w:hAnsi="Calibri"/>
          <w:b/>
          <w:color w:val="4A6B25"/>
          <w:sz w:val="20"/>
        </w:rPr>
        <w:t xml:space="preserve">3. </w:t>
      </w:r>
      <w:r>
        <w:rPr>
          <w:rFonts w:ascii="Calibri" w:hAnsi="Calibri"/>
          <w:b w:val="0"/>
          <w:color w:val="3A4A28"/>
          <w:sz w:val="20"/>
        </w:rPr>
        <w:t>Geopolitical risk in Asia growth markets (China, Hong Kong, Southeast Asia) could disrupt the company's highest-growth segment, which delivered 22% core earnings growth in Q1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The insurance industry has meaningful structural defenses against AI disruption — complex regulatory requirements, actuarial expertise, risk modeling capabilities, and trust-dependent customer relationships create barriers that pure AI companies cannot easily overcome [1]. Manulife's multi-line business across insurance, wealth management, and banking diversifies the risk surface. However, AI-powered insurtech startups (Lemonade, Root) have demonstrated that underwriting, claims processing, and customer service can be partially automated, and AI assistants could disintermediate traditional advisory relationships. Manulife's Asian growth markets may be particularly susceptible to mobile-first fintech competition. AI Opportunity (1/1): Manulife is among the most AI-forward traditional insurers, with a Chief AI Officer on the Executive Leadership Team, 200 embedded AI/ML experts, and an institutionalized "AI flywheel" framework for scaling innovation [2][3]. The company is using AI across underwriting, claims, customer service, and investment management, creating competitive advantages over slower-moving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Manulife Q1 2026 Earnings Release — PR Newswire, TipRanks, May 2026</w:t>
      </w:r>
    </w:p>
    <w:p>
      <w:pPr>
        <w:spacing w:before="20" w:after="20"/>
        <w:ind w:left="170"/>
      </w:pPr>
      <w:r>
        <w:rPr>
          <w:rFonts w:ascii="Calibri" w:hAnsi="Calibri"/>
          <w:b/>
          <w:color w:val="4A6B25"/>
          <w:sz w:val="15"/>
        </w:rPr>
        <w:t xml:space="preserve">2. </w:t>
      </w:r>
      <w:r>
        <w:rPr>
          <w:rFonts w:ascii="Calibri" w:hAnsi="Calibri"/>
          <w:b w:val="0"/>
          <w:color w:val="3A4A28"/>
          <w:sz w:val="17"/>
        </w:rPr>
        <w:t>Manulife Executive Leadership Team Changes and Chief AI Officer Appointment — PR Newswire, June 2026</w:t>
      </w:r>
    </w:p>
    <w:p>
      <w:pPr>
        <w:spacing w:before="20" w:after="20"/>
        <w:ind w:left="170"/>
      </w:pPr>
      <w:r>
        <w:rPr>
          <w:rFonts w:ascii="Calibri" w:hAnsi="Calibri"/>
          <w:b/>
          <w:color w:val="4A6B25"/>
          <w:sz w:val="15"/>
        </w:rPr>
        <w:t xml:space="preserve">3. </w:t>
      </w:r>
      <w:r>
        <w:rPr>
          <w:rFonts w:ascii="Calibri" w:hAnsi="Calibri"/>
          <w:b w:val="0"/>
          <w:color w:val="3A4A28"/>
          <w:sz w:val="17"/>
        </w:rPr>
        <w:t>Manulife AI Flywheel and Culture Transformation — RBC Thought Leadership, Insurance Business Magazine, 2026</w:t>
      </w:r>
    </w:p>
    <w:p>
      <w:pPr>
        <w:spacing w:before="20" w:after="20"/>
        <w:ind w:left="170"/>
      </w:pPr>
      <w:r>
        <w:rPr>
          <w:rFonts w:ascii="Calibri" w:hAnsi="Calibri"/>
          <w:b/>
          <w:color w:val="4A6B25"/>
          <w:sz w:val="15"/>
        </w:rPr>
        <w:t xml:space="preserve">4. </w:t>
      </w:r>
      <w:r>
        <w:rPr>
          <w:rFonts w:ascii="Calibri" w:hAnsi="Calibri"/>
          <w:b w:val="0"/>
          <w:color w:val="3A4A28"/>
          <w:sz w:val="17"/>
        </w:rPr>
        <w:t>Manulife 2025 Sustainability Report and ESG Framework — Manulife.com,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MFC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