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MGA</w:t>
      </w:r>
      <w:r>
        <w:rPr>
          <w:rFonts w:ascii="Calibri" w:hAnsi="Calibri"/>
          <w:b/>
          <w:color w:val="1A2010"/>
          <w:sz w:val="40"/>
        </w:rPr>
        <w:t xml:space="preserve">  Magna International Inc.</w:t>
      </w:r>
    </w:p>
    <w:p>
      <w:pPr>
        <w:spacing w:after="120"/>
      </w:pPr>
      <w:r>
        <w:rPr>
          <w:rFonts w:ascii="Calibri" w:hAnsi="Calibri"/>
          <w:b/>
          <w:color w:val="6E8450"/>
          <w:sz w:val="18"/>
        </w:rPr>
        <w:t>DIVIDEND SLEEVE · 2026-07-20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NYSE · Canada</w:t>
      </w:r>
    </w:p>
    <w:p>
      <w:pPr>
        <w:spacing w:after="80"/>
      </w:pPr>
      <w:r>
        <w:rPr>
          <w:rFonts w:ascii="Calibri" w:hAnsi="Calibri"/>
          <w:b w:val="0"/>
          <w:color w:val="3A4A28"/>
          <w:sz w:val="20"/>
        </w:rPr>
        <w:t>Magna International is one of the world's largest automotive suppliers, operating through four segments: Body Exteriors &amp; Structures, Power &amp; Vision, Seating Systems, and Complete Vehicles. The company serves global OEMs across ICE, hybrid, and EV platforms with a 'powertrain agnostic' strategy, and is headquartered in Aurora, Ontario. Q1 2026 delivered 77% adjusted EPS growth on $10.4B revenue with 190bps margin expansion.</w:t>
      </w:r>
    </w:p>
    <w:p>
      <w:r>
        <w:rPr>
          <w:rFonts w:ascii="Calibri" w:hAnsi="Calibri"/>
          <w:b/>
          <w:color w:val="6E8450"/>
          <w:sz w:val="18"/>
        </w:rPr>
        <w:t>156,000 Employees · https://www.magna.com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Magna has incrementally expanded into EV battery enclosures, ADAS systems, and complete vehicle assembly for Chinese OEMs (XPENG, GAC), but these are extensions of existing capabilities rather than transformative pivots [1]. Revenue guidance trimmed to $41.5-43.1B on lower global vehicle production assumptions, though margin improvement suggests operational execution. AI Deployment (1/2): Magna deploys AI in manufacturing processes and ADAS sensor systems (cameras, radar, compute units), and has invested in Populus AI (urban mobility management) and Sanctuary AI (humanoid robots), but has not disclosed specific AI-driven revenue or cost savings [2]. Market Share (1/2): Magna is a top-3 global auto parts supplier with unique strength in complete vehicle assembly (Magna Steyr) and body structures, though competitive pressure from Chinese suppliers is intensifying [1]. Pipeline (1/2): Q1 2026 adjusted EPS guidance of $6.25-$7.25 (maintained despite revenue trim) with EBIT margin expansion to 6.0-6.6% targets; new business wins with Chinese OEMs for EV assembly and battery enclosures [1]. R&amp;D Intensity (1/1): Significant investment in ADAS, battery enclosures, autonomous driving, and Sanctuary AI robotics relative to auto parts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Magna describes itself as a 'mobility company that innovates like a startup,' built on founder Frank Stronach's culture of fairness, accountability, and entrepreneurialism [2]. The 'Fair Enterprise' philosophy — sharing profits with employees who create them — is genuinely distinctive for the auto parts industry, though current CEO Kotagiri's strategic narrative focuses more on market positioning than purpose. Community &amp; Charitable Impact (1/2): Magna employs 156,000 people globally, maintains the Magna Hotline for reporting workplace ethics issues, has a corporate responsibility framework aligned to seven UN SDGs, and publishes annual sustainability reports with science-based emission reduction targets [4]. However, no specific charitable foundation or dollar-amount community investments were identified. Employee Retention (1/2): Glassdoor rating of 3.5/5 with 3,182+ reviews is average for the auto industry [3]. Employees rate culture 3.4/5 with mixed feedback — some cite the entrepreneurial culture positively while others note leadership is 'older and set in their ways' with 'no clear direction.' Only 64% would recommend to a friend. Insider Buying (1/2): CEO Kotagiri's total compensation is 93.6% stock-based, creating meaningful alignment with shareholders [2]. While not open-market buying, the heavy equity-based structure demonstrates skin in the game.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metrics. Magna's balance sheet is well-managed with D/E of 56% (below the 70% target), and forward P/E of ~9x reflects deep value pricing for the auto parts sector — well below the 20x target [1][5]. Q1 2026 delivered strong operational improvement: adjusted EBIT of $558M (up 58%), margin expansion of 190bps to 5.4%, and free cash flow of $372M [1]. ROE of 8.7% remains below the 15% target, reflecting capital-intensive manufacturing. Profit margin of 2.24% is thin by any standard but improving from 1.97%. The dividend has been paid for 35 consecutive years with 14 years of consecutive growth and a 4.0% 5-year CAGR — a reliable income stream at 2.98% yield [5]. Payout ratio of ~78% (GAAP) is elevated due to one-time charges depressing reported earnings; on an adjusted EPS basis ($6.75 midpoint guidance), payout is a comfortable ~28%.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Magna has endured for nearly 70 years through multiple automotive industry cycles, built on founder Frank Stronach's 'Fair Enterprise' philosophy of profit sharing and fairness. This heritage gives the company genuine long-term DNA. However, under CEO Kotagiri, the strategic narrative is more operationally focused — margin expansion targets, market positioning, contract wins — than purpose-driven. The company's framing of competition and growth remains pragmatic rather than visionary.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Magna's purpose revolves around being a leading mobility technology company, and while the underlying 'Fair Enterprise' philosophy from founder Frank Stronach is genuinely distinctive (profit sharing with employees, fairness as a core value), current leadership articulates the mission primarily as market positioning — 'innovate like a startup and think like a technology company' [2]. The strategic narrative is about winning OEM contracts and expanding margins rather than advancing a vision of a better future. The founding principles have endured but don't clearly shape today's competitive strategy.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Magna's 156,000-employee global workforce operates under a culture historically rooted in Stronach's fairness principles, and the Magna Hotline for ethics reporting suggests governance infrastructure [3]. However, Glassdoor reviews reveal mixed trust signals: only 64% would recommend working there, employees cite leadership being 'older and set in their ways,' and some report 'poor leadership and no clear direction.' The 3.4/5 culture rating is adequate but not exceptional for a company claiming an entrepreneurial culture.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Magna demonstrates an infinite-minded competitive approach — partnering with Chinese OEMs like XPENG and GAC for complete vehicle assembly rather than treating them as threats [1]. CEO Kotagiri's collaborative risk-sharing model with OEMs and the 'powertrain agnostic' strategy position competitors' strengths as motivation to broaden capabilities rather than defend territory. The company competes to serve the changing industry rather than to defeat specific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Magna has evolved from a traditional stamping company founded in 1957 into a complete vehicle manufacturer, ADAS supplier, and EV component maker — entering battery enclosures, autonomous driving systems, and contract vehicle assembly for multiple OEMs [1]. The 'powertrain agnostic' pivot demonstrates strategic flexibility. However, these are incremental extensions of existing manufacturing capabilities rather than a fundamental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Magna has maintained investment in EV battery enclosures, ADAS, and manufacturing robotics (Sanctuary AI) during a period of automotive industry uncertainty, with the 2026 guidance prioritizing margin expansion while sustaining long-term technology bets [1][2]. The decision to trim revenue guidance to $41.5-43.1B while maintaining EPS guidance of $6.25-$7.25 reflects operational discipline. However, these strategic moves are reactive to industry trends rather than defining them — Magna adapts rather than leads.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Magna International delivered an exceptional Q1 2026 with adjusted EPS of $1.38 (up 77% YoY), adjusted EBIT of $558M (up 58%), and EBIT margin expansion of 190bps to 5.4%, demonstrating that operational restructuring is translating into tangible profitability improvement [1]. At ~9x forward P/E on maintained adjusted EPS guidance of $6.25-$7.25, the stock is deeply undervalued relative to its earnings trajectory. The 2.98% dividend yield backed by 35 consecutive years of payments and 14 years of growth provides reliable income while free cash flow of $372M in Q1 alone supports both dividends and investment. New complete vehicle assembly contracts with Chinese EV OEMs and investments in ADAS, Sanctuary AI robotics, and Populus AI provide exposure to mobility transformation trends.</w:t>
      </w:r>
    </w:p>
    <w:p>
      <w:pPr>
        <w:spacing w:after="120"/>
      </w:pPr>
      <w:r>
        <w:rPr>
          <w:rFonts w:ascii="Calibri" w:hAnsi="Calibri"/>
          <w:b w:val="0"/>
          <w:color w:val="3A4A28"/>
          <w:sz w:val="20"/>
        </w:rPr>
        <w:t>The bear case centers on structural industry headwinds and thin margins. Magna trimmed FY2026 revenue guidance to $41.5-43.1B on lower global vehicle production assumptions, and GAAP profit margin of 2.24% leaves minimal buffer for cost overruns, warranty claims, or input cost inflation in a 156,000-employee global manufacturing base [1][5]. Trailing GAAP P/E of 26x (vs. 9x adjusted) reflects significant non-cash charges that distort reported earnings, creating payout ratio risk at 78% GAAP. The structural shift toward software-defined vehicles concentrates value in technology layers where Magna has less competitive moat — ADAS faces pricing pressure from Mobileye and NVIDIA, while the EV transition is reducing powertrain complexity. Tariff escalation remains a risk for a Canadian-headquartered global manufacturer with extensive cross-border supply chains.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adjusted EBIT margin expansion toward the 6.0-6.6% full-year target, with Q1's 190bps improvement demonstrating sustainable operational leverage and restructuring benefits [1]</w:t>
      </w:r>
    </w:p>
    <w:p>
      <w:pPr>
        <w:spacing w:before="40" w:after="40"/>
        <w:ind w:left="283"/>
      </w:pPr>
      <w:r>
        <w:rPr>
          <w:rFonts w:ascii="Calibri" w:hAnsi="Calibri"/>
          <w:b/>
          <w:color w:val="4A6B25"/>
          <w:sz w:val="20"/>
        </w:rPr>
        <w:t xml:space="preserve">2. </w:t>
      </w:r>
      <w:r>
        <w:rPr>
          <w:rFonts w:ascii="Calibri" w:hAnsi="Calibri"/>
          <w:b w:val="0"/>
          <w:color w:val="3A4A28"/>
          <w:sz w:val="20"/>
        </w:rPr>
        <w:t>New complete vehicle assembly contracts with Chinese EV OEMs (XPENG, GAC) opening high-growth market exposure and diversifying revenue beyond traditional Western OEMs [1]</w:t>
      </w:r>
    </w:p>
    <w:p>
      <w:pPr>
        <w:spacing w:before="40" w:after="40"/>
        <w:ind w:left="283"/>
      </w:pPr>
      <w:r>
        <w:rPr>
          <w:rFonts w:ascii="Calibri" w:hAnsi="Calibri"/>
          <w:b/>
          <w:color w:val="4A6B25"/>
          <w:sz w:val="20"/>
        </w:rPr>
        <w:t xml:space="preserve">3. </w:t>
      </w:r>
      <w:r>
        <w:rPr>
          <w:rFonts w:ascii="Calibri" w:hAnsi="Calibri"/>
          <w:b w:val="0"/>
          <w:color w:val="3A4A28"/>
          <w:sz w:val="20"/>
        </w:rPr>
        <w:t>Forward P/E of ~9x represents deep value — any sustained earnings beat or guidance raise could trigger significant multiple expansion from historically depressed levels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profit margin of 2.24% and trailing GAAP P/E of 26x (vs. 9x adjusted) reflect persistent non-cash charges that distort profitability and create a payout ratio sustainability question at 78% [5]</w:t>
      </w:r>
    </w:p>
    <w:p>
      <w:pPr>
        <w:spacing w:before="40" w:after="40"/>
        <w:ind w:left="283"/>
      </w:pPr>
      <w:r>
        <w:rPr>
          <w:rFonts w:ascii="Calibri" w:hAnsi="Calibri"/>
          <w:b/>
          <w:color w:val="4A6B25"/>
          <w:sz w:val="20"/>
        </w:rPr>
        <w:t xml:space="preserve">2. </w:t>
      </w:r>
      <w:r>
        <w:rPr>
          <w:rFonts w:ascii="Calibri" w:hAnsi="Calibri"/>
          <w:b w:val="0"/>
          <w:color w:val="3A4A28"/>
          <w:sz w:val="20"/>
        </w:rPr>
        <w:t>Revenue guidance trimmed to $41.5-43.1B on lower global vehicle production assumptions — cyclical auto industry exposure with tariff escalation could further compress volumes and margins</w:t>
      </w:r>
    </w:p>
    <w:p>
      <w:pPr>
        <w:spacing w:before="40" w:after="40"/>
        <w:ind w:left="283"/>
      </w:pPr>
      <w:r>
        <w:rPr>
          <w:rFonts w:ascii="Calibri" w:hAnsi="Calibri"/>
          <w:b/>
          <w:color w:val="4A6B25"/>
          <w:sz w:val="20"/>
        </w:rPr>
        <w:t xml:space="preserve">3. </w:t>
      </w:r>
      <w:r>
        <w:rPr>
          <w:rFonts w:ascii="Calibri" w:hAnsi="Calibri"/>
          <w:b w:val="0"/>
          <w:color w:val="3A4A28"/>
          <w:sz w:val="20"/>
        </w:rPr>
        <w:t>Structural shift toward software-defined vehicles concentrates value in technology layers where Magna has less competitive moat, with ADAS facing pricing pressure from Mobileye and NVIDIA while EV transition reduces powertrain component complexity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Magna's core business — manufacturing physical auto components, body structures, seating systems, and complete vehicles — involves complex physical-world operations that AI structurally cannot replace [1]. Car doors, bumpers, battery enclosures, and seats must be physically manufactured and assembled, creating natural immunity to software-based disruption. However, the broader automotive industry shift toward software-defined vehicles concentrates value in technology layers (autonomous driving, infotainment, OTA updates) where Magna has less competitive moat. ADAS sensor systems face competitive pressure from pure-play tech companies (Mobileye, NVIDIA) with deeper AI expertise. The 'powertrain agnostic' strategy hedges the ICE-to-EV transition but doesn't fully address software-over-hardware value migration. AI Opportunity (1/1): Magna generates revenue from ADAS products including cameras, thermal sensing, radar, and compute units — tangible AI-adjacent products shipping to OEM customers today [1]. Investments in Sanctuary AI (humanoid robots for manufacturing) and Populus AI demonstrate active engagement with AI technology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Magna International Q1 2026 Earnings Release — Adjusted EPS $1.38 (up 77%), Adjusted EBIT $558M (up 58%), Margin Expansion 190bps, May 2026</w:t>
      </w:r>
    </w:p>
    <w:p>
      <w:pPr>
        <w:spacing w:before="20" w:after="20"/>
        <w:ind w:left="170"/>
      </w:pPr>
      <w:r>
        <w:rPr>
          <w:rFonts w:ascii="Calibri" w:hAnsi="Calibri"/>
          <w:b/>
          <w:color w:val="4A6B25"/>
          <w:sz w:val="15"/>
        </w:rPr>
        <w:t xml:space="preserve">2. </w:t>
      </w:r>
      <w:r>
        <w:rPr>
          <w:rFonts w:ascii="Calibri" w:hAnsi="Calibri"/>
          <w:b w:val="0"/>
          <w:color w:val="3A4A28"/>
          <w:sz w:val="17"/>
        </w:rPr>
        <w:t>Magna Technology Investments — Populus AI, Sanctuary AI, ADAS Product Portfolio; Corporate Culture and 'Fair Enterprise' Philosophy</w:t>
      </w:r>
    </w:p>
    <w:p>
      <w:pPr>
        <w:spacing w:before="20" w:after="20"/>
        <w:ind w:left="170"/>
      </w:pPr>
      <w:r>
        <w:rPr>
          <w:rFonts w:ascii="Calibri" w:hAnsi="Calibri"/>
          <w:b/>
          <w:color w:val="4A6B25"/>
          <w:sz w:val="15"/>
        </w:rPr>
        <w:t xml:space="preserve">3. </w:t>
      </w:r>
      <w:r>
        <w:rPr>
          <w:rFonts w:ascii="Calibri" w:hAnsi="Calibri"/>
          <w:b w:val="0"/>
          <w:color w:val="3A4A28"/>
          <w:sz w:val="17"/>
        </w:rPr>
        <w:t>Glassdoor / Built In — Magna International Employee Reviews (3,182+ reviews, 3.5/5 rating, 64% recommend),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Magna 2025 Sustainability Report — Science-Based Emission Targets, UN SDG Alignment, Corporate Responsibility Framework</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MGA Key Statistics (D/E 56%, ROE 8.7%, Forward PE 9x, Dividend 2.98%),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