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MGNI</w:t>
      </w:r>
      <w:r>
        <w:rPr>
          <w:rFonts w:ascii="Calibri" w:hAnsi="Calibri"/>
          <w:b/>
          <w:color w:val="1A2010"/>
          <w:sz w:val="40"/>
        </w:rPr>
        <w:t xml:space="preserve">  Magnite, Inc.</w:t>
      </w:r>
    </w:p>
    <w:p>
      <w:pPr>
        <w:spacing w:after="120"/>
      </w:pPr>
      <w:r>
        <w:rPr>
          <w:rFonts w:ascii="Calibri" w:hAnsi="Calibri"/>
          <w:b/>
          <w:color w:val="6E8450"/>
          <w:sz w:val="18"/>
        </w:rPr>
        <w:t>GROWTH SLEEVE · 2026-07-15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Technology · NASDAQ · United States</w:t>
      </w:r>
    </w:p>
    <w:p>
      <w:pPr>
        <w:spacing w:after="80"/>
      </w:pPr>
      <w:r>
        <w:rPr>
          <w:rFonts w:ascii="Calibri" w:hAnsi="Calibri"/>
          <w:b w:val="0"/>
          <w:color w:val="3A4A28"/>
          <w:sz w:val="20"/>
        </w:rPr>
        <w:t>Magnite, Inc. is the world's largest independent sell-side advertising platform (SSP), providing technology that enables publishers and media owners to monetize content across connected TV (CTV), online video, display, and audio. Formed from the 2020 merger of Rubicon Project and Telaria, with the 2021 acquisition of SpotX, Magnite processes billions of ad transactions daily. Headquartered in New York.</w:t>
      </w:r>
    </w:p>
    <w:p>
      <w:r>
        <w:rPr>
          <w:rFonts w:ascii="Calibri" w:hAnsi="Calibri"/>
          <w:b/>
          <w:color w:val="6E8450"/>
          <w:sz w:val="18"/>
        </w:rPr>
        <w:t>1,100 Employees · https://www.magnite.com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Magnite executed a transformative M&amp;A strategy — merging Rubicon Project and Telaria in 2020, then acquiring SpotX in 2021 — to pivot from desktop display SSP to the dominant independent CTV programmatic platform [1]. CTV contribution ex-TAC grew 30% YoY to $82.3M in Q1 2026, now representing over half of total revenue [1]. AI Deployment (1/2): Launched Magnite Orchestration in April 2026 with AI-powered intelligent assistance and agentic execution capabilities, including anomaly detection, demand path optimization, and dynamic pricing within SpringServe [3]. Testing with Kepler, MiQ, Publicis Media Exchange, and Spectrum Reach, but no quantified AI revenue or savings reported. Market Share (2/2): Largest independent SSP globally, with CTV market leadership and integrations across major streaming publishers including Disney, Netflix, Roku, LG, and Samsung [1][3]. Product Pipeline (1/2): Magnite Orchestration and agentic AI tools represent next-gen platform evolution, but revenue timelines remain vague beyond 'testing phase' language [3]. R&amp;D Intensity (0/1): CapEx guided at ~$60M (~8% of revenue), reasonable for ad tech but not top-quartile; explicit R&amp;D spending breakout not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Magnite positions itself as 'the largest independent sell-side advertising platform' — a market position statement rather than a purpose. Corporate responsibility emphasizes talent engagement, environmental efficiency, and responsible advertising, but lacks a distinctive vision of a better future beyond powering publisher independence [4]. Community Impact (0/2): ESG page outlines three pillars but provides no specific charitable giving amounts, foundation activity, or community investment programs with measurable impact [4]. Employee Retention (1/2): Glassdoor rating of 4.2/5 with work-life balance (4.4/5) and culture/values (4.4/5) rated favorably, but Comparably gives executive team a 'D' rating in the Bottom 20% of similar-size companies; reviews cite 'lost management' post-acquisitions and compensation concerns [2]. Insider Buying (0/2): $200M share buyback authorization signals capital-return discipline but no notable net insider buying by CEO Michael Barrett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47% is well within the 70% target, reflecting manageable leverage with $347M non-current debt against $184.6M cash [1]. ROE of 19.12% exceeds the 15% target, demonstrating improved capital efficiency as the company achieved sustained profitability [5]. Forward P/E of 17.60 is below the 20 target, and forward PEG of 0.50 is exceptionally attractive against the 1.0 target, reflecting 27% expected earnings growth [5]. Profit margin of 21.96% (TTM) exceeds the 20% target, driven by strong Q4 seasonality typical of ad tech [1]. Revenue growth YoY of 7.1% is modestly below the 10% target (metric score 0.90). All metrics except YoY revenue growth score at or above target, yielding a weighted infrastructure score of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Magnite operates with a primarily finite mindset focused on market position ('largest independent SSP') and quarterly metrics rather than an enduring purpose. The M&amp;A-driven growth strategy — three major acquisitions in two years — reflects a play-to-win approach. Leadership articulates goals in market share and revenue terms rather than a vision of a better future for the advertising ecosystem. Cultural integration challenges post-acquisition and Comparably's 'D' executive rating signal organizational friction.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Magnite's implicit cause — preserving publisher independence against Google and Meta's walled gardens — has merit but is never articulated as a Just Cause. The company positions itself as 'the largest independent SSP,' which is a competitive claim, not a vision of a future state worth sacrificing for [1][4]. Corporate communications focus on market position, revenue growth, and EBITDA margins rather than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4.2/5 with strong marks on work-life balance (4.4/5) and culture/values (4.4/5) suggest an above-average work environment [2]. However, Comparably rates the executive team a 'D' in the Bottom 20% of similar-size companies, and employee reviews cite 'lost management' and 'low morale' following rapid-fire acquisitions. Three major integrations in two years have strained organizational trust and cultural cohesion.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Magnite's competitive positioning focuses on being 'independent' versus Google and Meta — framing competition as a battle for publisher survival rather than a source of self-improvement. No evidence in management commentary of acknowledging rivals' strengths as motivation to improve; the language centers on 'winning' the open internet.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Magnite has evolved significantly — from Rubicon Project (desktop display SSP) through rebrand and merger to become a CTV-focused, multi-format programmatic platform [1]. CTV now exceeds 50% of contribution ex-TAC, up from near zero five years ago. However, the evolution was largely M&amp;A-driven (acquisitions of Telaria, SpotX, SpringServe) rather than a transformative internal pivot born from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Executing three major acquisitions while ad tech was under pressure showed strategic conviction — betting that CTV programmatic would consolidate around scale players [1]. Raising EBITDA margin guidance to 35.5%+ while investing in AI capabilities and authorizing a $200M buyback (~10% of market cap) demonstrates balance-sheet confidence. However, these are industry-consensus plays rather than contrarian bets that sacrificed short-term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Magnite delivered Q1 2026 revenue of $164.4M (up 6% YoY) with a return to GAAP profitability at $4.4M net income versus a $9.6M loss a year ago [1]. CTV contribution ex-TAC of $82.3M grew 30% YoY and now represents over half of total revenue, positioning Magnite as the dominant independent SSP for streaming advertising. Full-year 2026 guidance calls for at least 11% contribution ex-TAC growth with EBITDA margins expanding to 35.5%+ and FCF growth in the mid-30% range [1]. At a forward PEG of 0.50 and forward P/E of 17.60, valuation is compelling given expected 27% earnings growth — TTM profit margin of 22% and ROE of 19% demonstrate a company that has crossed the profitability inflection point [5].</w:t>
      </w:r>
    </w:p>
    <w:p>
      <w:pPr>
        <w:spacing w:after="120"/>
      </w:pPr>
      <w:r>
        <w:rPr>
          <w:rFonts w:ascii="Calibri" w:hAnsi="Calibri"/>
          <w:b w:val="0"/>
          <w:color w:val="3A4A28"/>
          <w:sz w:val="20"/>
        </w:rPr>
        <w:t>The bear case centers on structural disruption risk and execution concerns. DV+ (traditional display) contribution ex-TAC declined 5% YoY in Q1, and this segment faces accelerating AI disintermediation as agentic tools enable buyers to bypass SSP intermediaries [1]. CTV growth, while strong at 30%, depends on streaming publishers maintaining fragmented distribution rather than building proprietary ad stacks — consolidation by Amazon, Google, or Netflix could shrink Magnite's addressable market. The company carries $347M in debt, and while D/E of 47% is manageable, interest expense constrains margin expansion [1]. Comparably rates the executive team a 'D' and Glassdoor reviews cite post-acquisition 'lost management' and 'low morale,' suggesting cultural debt that could impair execution during the critical AI transformation of ad tech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CTV contribution ex-TAC growing 30% YoY with streaming ad spend expanding as major platforms (Netflix, Disney+, Amazon) scale ad-supported tiers, driving Magnite toward full-year EBITDA margins of 35.5%+</w:t>
      </w:r>
    </w:p>
    <w:p>
      <w:pPr>
        <w:spacing w:before="40" w:after="40"/>
        <w:ind w:left="283"/>
      </w:pPr>
      <w:r>
        <w:rPr>
          <w:rFonts w:ascii="Calibri" w:hAnsi="Calibri"/>
          <w:b/>
          <w:color w:val="4A6B25"/>
          <w:sz w:val="20"/>
        </w:rPr>
        <w:t xml:space="preserve">2. </w:t>
      </w:r>
      <w:r>
        <w:rPr>
          <w:rFonts w:ascii="Calibri" w:hAnsi="Calibri"/>
          <w:b w:val="0"/>
          <w:color w:val="3A4A28"/>
          <w:sz w:val="20"/>
        </w:rPr>
        <w:t>Magnite Orchestration and agentic AI tools could differentiate the platform and create switching costs, with early testing partnerships at Kepler, MiQ, and Publicis potentially converting to production revenue in H2 2026</w:t>
      </w:r>
    </w:p>
    <w:p>
      <w:pPr>
        <w:spacing w:before="40" w:after="40"/>
        <w:ind w:left="283"/>
      </w:pPr>
      <w:r>
        <w:rPr>
          <w:rFonts w:ascii="Calibri" w:hAnsi="Calibri"/>
          <w:b/>
          <w:color w:val="4A6B25"/>
          <w:sz w:val="20"/>
        </w:rPr>
        <w:t xml:space="preserve">3. </w:t>
      </w:r>
      <w:r>
        <w:rPr>
          <w:rFonts w:ascii="Calibri" w:hAnsi="Calibri"/>
          <w:b w:val="0"/>
          <w:color w:val="3A4A28"/>
          <w:sz w:val="20"/>
        </w:rPr>
        <w:t>Forward PEG of 0.50 implies significant upside if the company delivers on 27% earnings growth, with 15 analysts rating the stock 'Strong Buy' and a $22 consensus price target representing ~9% upside from $20.20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Traditional display segment (DV+) declining 5% YoY faces accelerating AI disintermediation as agentic tools enable direct advertiser-to-publisher transactions, threatening Magnite's middleman position in the ad tech stack</w:t>
      </w:r>
    </w:p>
    <w:p>
      <w:pPr>
        <w:spacing w:before="40" w:after="40"/>
        <w:ind w:left="283"/>
      </w:pPr>
      <w:r>
        <w:rPr>
          <w:rFonts w:ascii="Calibri" w:hAnsi="Calibri"/>
          <w:b/>
          <w:color w:val="4A6B25"/>
          <w:sz w:val="20"/>
        </w:rPr>
        <w:t xml:space="preserve">2. </w:t>
      </w:r>
      <w:r>
        <w:rPr>
          <w:rFonts w:ascii="Calibri" w:hAnsi="Calibri"/>
          <w:b w:val="0"/>
          <w:color w:val="3A4A28"/>
          <w:sz w:val="20"/>
        </w:rPr>
        <w:t>CTV growth depends on streaming publishers maintaining fragmented distribution — proprietary ad stack buildouts by Amazon, Google, or Netflix would reduce Magnite's addressable market and pricing power</w:t>
      </w:r>
    </w:p>
    <w:p>
      <w:pPr>
        <w:spacing w:before="40" w:after="40"/>
        <w:ind w:left="283"/>
      </w:pPr>
      <w:r>
        <w:rPr>
          <w:rFonts w:ascii="Calibri" w:hAnsi="Calibri"/>
          <w:b/>
          <w:color w:val="4A6B25"/>
          <w:sz w:val="20"/>
        </w:rPr>
        <w:t xml:space="preserve">3. </w:t>
      </w:r>
      <w:r>
        <w:rPr>
          <w:rFonts w:ascii="Calibri" w:hAnsi="Calibri"/>
          <w:b w:val="0"/>
          <w:color w:val="3A4A28"/>
          <w:sz w:val="20"/>
        </w:rPr>
        <w:t>Post-acquisition cultural integration remains incomplete — Comparably 'D' executive team rating and employee reviews citing 'lost management' signal organizational risk during a critical technology transition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Magnite's programmatic advertising infrastructure occupies a middleman position in the ad tech stack that faces genuine AI disruption risk — agentic AI could theoretically enable direct advertiser-to-publisher transactions, bypassing SSPs entirely [2]. However, real-time bidding complexity across thousands of demand partners, header bidding integrations, and supply-path optimization creates meaningful switching costs. CTV's fragmented ecosystem (unlike Google/Meta walled gardens) favors independent infrastructure players. Traditional display (DV+ segment, down 5% YoY) is more vulnerable to AI disintermediation than CTV [1]. AI Opportunity (0/1): Magnite launched Orchestration with agentic AI tools and SpringServe AI-enhanced mediation in April 2026, but no AI-specific revenue has been quantified [3]. Testing partnerships with Kepler, MiQ, and Publicis are early-stage with no reported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Magnite Q1 2026 Earnings Release — investor.magnite.com, May 2026</w:t>
      </w:r>
    </w:p>
    <w:p>
      <w:pPr>
        <w:spacing w:before="20" w:after="20"/>
        <w:ind w:left="170"/>
      </w:pPr>
      <w:r>
        <w:rPr>
          <w:rFonts w:ascii="Calibri" w:hAnsi="Calibri"/>
          <w:b/>
          <w:color w:val="4A6B25"/>
          <w:sz w:val="15"/>
        </w:rPr>
        <w:t xml:space="preserve">2. </w:t>
      </w:r>
      <w:r>
        <w:rPr>
          <w:rFonts w:ascii="Calibri" w:hAnsi="Calibri"/>
          <w:b w:val="0"/>
          <w:color w:val="3A4A28"/>
          <w:sz w:val="17"/>
        </w:rPr>
        <w:t>Glassdoor and Comparably Employee Reviews — Magnite leadership and culture,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Magnite Unveils AI-Powered Intelligent Assistance and Agentic Execution Capabilities — magnite.com Press Release, April 2026</w:t>
      </w:r>
    </w:p>
    <w:p>
      <w:pPr>
        <w:spacing w:before="20" w:after="20"/>
        <w:ind w:left="170"/>
      </w:pPr>
      <w:r>
        <w:rPr>
          <w:rFonts w:ascii="Calibri" w:hAnsi="Calibri"/>
          <w:b/>
          <w:color w:val="4A6B25"/>
          <w:sz w:val="15"/>
        </w:rPr>
        <w:t xml:space="preserve">4. </w:t>
      </w:r>
      <w:r>
        <w:rPr>
          <w:rFonts w:ascii="Calibri" w:hAnsi="Calibri"/>
          <w:b w:val="0"/>
          <w:color w:val="3A4A28"/>
          <w:sz w:val="17"/>
        </w:rPr>
        <w:t>Magnite Corporate Responsibility and ESG — magnite.com/esg,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MGNI Key Statistics and Financial Data,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