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MIAX</w:t>
      </w:r>
      <w:r>
        <w:rPr>
          <w:rFonts w:ascii="Calibri" w:hAnsi="Calibri"/>
          <w:b/>
          <w:color w:val="1A2010"/>
          <w:sz w:val="40"/>
        </w:rPr>
        <w:t xml:space="preserve">  Miami International Holdings, Inc.</w:t>
      </w:r>
    </w:p>
    <w:p>
      <w:pPr>
        <w:spacing w:after="120"/>
      </w:pPr>
      <w:r>
        <w:rPr>
          <w:rFonts w:ascii="Calibri" w:hAnsi="Calibri"/>
          <w:b/>
          <w:color w:val="6E8450"/>
          <w:sz w:val="18"/>
        </w:rPr>
        <w:t>GROWTH SLEEVE · 2026-08-04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Miami International Holdings operates regulated financial exchanges across options, equities, futures, and international listings. The company's platforms include MIAX Options, MIAX Pearl, MIAX Emerald, and MIAX Sapphire for options; MIAX Pearl Equities for U.S. equities; MIAX Futures for derivatives; and the Bermuda Stock Exchange (BSX) and The International Stock Exchange (TISE) for international listings. IPO'd on NYSE in August 2025.</w:t>
      </w:r>
    </w:p>
    <w:p>
      <w:r>
        <w:rPr>
          <w:rFonts w:ascii="Calibri" w:hAnsi="Calibri"/>
          <w:b/>
          <w:color w:val="6E8450"/>
          <w:sz w:val="18"/>
        </w:rPr>
        <w:t>439 Employees · https://www.miaxglobal.com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MIAX built five exchange venues from scratch — MIAX Options (2012), MIAX Pearl (2017), MIAX Emerald (2019), MIAX Sapphire, and the Bermuda Stock Exchange acquisition — growing from zero to 17.3% U.S. multi-listed options market share over 13 years [1]. Q1 2026 revenue surged 40% YoY to $128.6M, demonstrating accelerating momentum. Multiple successful launches but all within the exchange operator business model. AI Deployment (0/2): No AI-powered products shipping to customers and no quantified AI-driven cost savings or revenue gains reported in Q1 2026 earnings materials [1]. CEO Gallagher has called AI an opportunity but no measurable deployment exists. Market Share (2/2): MIAX increased U.S. multi-listed options market share to 17.3% in Q1 2026 from 16.0% in the prior year, representing average daily volume of 10.9 million contracts and a 27% YoY increase — the fastest-growing exchange group challenging CBOE (33%), NYSE (20%), and Nasdaq (19%) [1]. Product Pipeline (1/2): Expanding into equities (MIAX Pearl Equities), futures, and international listings through BSX and TISE, with international segment previously growing 586% YoY, but specific next-gen technology launches lack firm timelines [1][2]. R&amp;D Intensity (1/1): Proprietary exchange matching engine technology is central to the business model; development of low-latency trading infrastructure is a core competitive capability for a 439-person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MIAX's stated purpose centers on providing 'innovative, efficient, and fair markets' through technology-driven exchange operations — clear and functional but not distinctive or inspiring beyond the mechanics of financial market infrastructure [2]. The mission does not articulate a transformative vision of a better future. Community Impact (0/2): No evidence found of charitable giving programs, foundation, or community investment beyond the core business of operating regulated exchanges. Providing competitive exchange infrastructure is the business model, not philanthropy [2]. Employee Retention (0/2): No specific retention, tenure, or turnover data available. Glassdoor rating of 4.1/5.0 based on limited reviews; mixed feedback with some describing trading operations culture as problematic with micromanagement, while others praise collaboration [3]. Only 65% would recommend working there. Insider Buying (0/2): CEO Gallagher holds 2.83% of the company worth ~$85M, demonstrating structural equity alignment through compensation, but sold $9.7M in stock in April 2026 — net insider selling rather than discretionary buying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5yr revenue CAGR and PEG excluded due to limited public company history (IPO August 2025). Virtually debt-free balance sheet with D/E of 2.13% and $595.9M cash against $1.5M total debt provides exceptional financial flexibility [4][5]. ROE has turned positive at 16.83% TTM as one-time IPO charges ($107.7M debt extinguishment) roll off, exceeding the 15% target [5]. Revenue growth of 17.8% YoY to $1.41B TTM is strong, with Q1 2026 accelerating to 40% YoY growth and adjusted EBITDA margins expanding 800bps to 51% [1]. Forward P/E of 28.36 reflects premium valuation for a high-growth exchange operator. TTM GAAP profit margin of 8.65% remains the primary weakness, still depressed by FY2025 losses when GAAP net income was -$70M; underlying profitability is significantly stronger as evidenced by $145M TTM free cash flow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MIAX is fundamentally a competitive machine built to capture market share from incumbent exchanges — a finite game objective executed with discipline over 19 years. Founder-CEO Tom Gallagher's 12+ year tenure provides leadership continuity, but the company's language and strategy are oriented around winning market share percentage points rather than advancing a transformative vision for capital markets. The IPO, followed by $9.7M in CEO stock sales within months, reflects finite milestone-driven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MIAX exists to create competition in U.S. options markets by providing alternative exchange venues — a legitimate purpose that benefits participants through tighter spreads and lower fees, but it reads as a competitive strategy rather than a Just Cause in Sinek's framework [2]. The company measures success by market share percentages (16.0% to 17.3%) and volume growth, not by advancing a vision of a better future for capital markets. Interchangeable with any exchange operator's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439 employees, MIAX maintains a relatively small, focused organization. Glassdoor rating of 4.1/5.0 with 65% recommendation rate suggests adequate but not exceptional culture [3]. Negative reviews cite micromanagement and after-hours expectations in trading operations — 'absolutely terrible culture stemming from the top' — while positive reviews highlight collaboration. Leadership stability under founder-CEO Gallagher provides continuity, but cultural concerns are notable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MIAX's competitive language is fundamentally finite — centered on 'winning' market share from CBOE, NYSE, and Nasdaq. The Nasdaq litigation (resolved July 2026) and emphasis on share gains from 16.0% to 17.3% reflect a market-capture mentality [1][6]. No evidence that management references competitors' strengths as motivation for self-improvement; competitive framing is about taking share, not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MIAX has expanded from a single options exchange to a multi-asset-class platform spanning options (four exchanges), equities, futures, and international listings (BSX, TISE), with the international segment previously growing 586% YoY [1][2]. The August 2025 IPO represented a structural transformation from private to public. These are meaningful but incremental extensions of the exchange platform model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Gallagher demonstrated genuine conviction by building MIAX from a startup exchange to a $4.5B public company over 15+ years, competing directly against deeply entrenched incumbents with vastly greater resources [1]. Spending years as a private company building technology and regulatory infrastructure before the IPO required patience and long-term thinking. However, $9.7M in CEO stock sales just months post-IPO raises questions about whether the orientation has shifted from building to harvesting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Miami International Holdings delivered record Q1 2026 results with net revenue of $128.6M (+40% YoY), adjusted EBITDA of $66.1M (+66% YoY), and adjusted EPS of $0.42 that crushed analyst estimates of $0.27 by 56% [1]. The company commands 17.3% of the U.S. multi-listed options market with 10.9M contracts ADV (+27% YoY), operates with virtually zero debt ($1.5M against $595.9M cash), and generates $145M TTM free cash flow. The exchange operator model benefits from operating leverage — as volumes increase, incremental margins expand dramatically, evidenced by 800bps adjusted EBITDA margin expansion to 51% in Q1 2026 [1]. Analyst consensus projects FY2026 EPS of $1.66, implying significant earnings normalization from the IPO-distorted FY2025.</w:t>
      </w:r>
    </w:p>
    <w:p>
      <w:pPr>
        <w:spacing w:after="120"/>
      </w:pPr>
      <w:r>
        <w:rPr>
          <w:rFonts w:ascii="Calibri" w:hAnsi="Calibri"/>
          <w:b w:val="0"/>
          <w:color w:val="3A4A28"/>
          <w:sz w:val="20"/>
        </w:rPr>
        <w:t>The primary concern is valuation: at 28.4x forward earnings and $4.5B market cap, MIAX is priced for sustained high-growth execution despite only three quarters as a public company [4][5]. FY2025 GAAP net income was -$70M due to $107.7M in IPO-related debt extinguishment charges, and GAAP profit margin remains only 8.65% TTM. The options exchange market is fiercely competitive — CBOE (~33%), NYSE (~20%), and Nasdaq (~19%) have vastly greater resources and institutional relationships. MIAX's market share gains from 16.0% to 17.3% are impressive but the pace may plateau as incumbents respond with pricing and technology investment. Exchange volumes are cyclical and correlated with market volatility — the elevated volatility driving record Q1 2026 volumes may not persist. CEO insider selling of $9.7M in April 2026, just months after the IPO, introduces overhang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options market share trajectory toward 20%+ as MIAX Sapphire ramps and retail options participation continues secular growth, with each percentage point worth approximately $30M+ in incremental annual revenue [1]</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normalization as one-time IPO charges roll off, with analyst consensus projecting FY2026 EPS of $1.66 and underlying adjusted EBITDA margins above 50% [1]</w:t>
      </w:r>
    </w:p>
    <w:p>
      <w:pPr>
        <w:spacing w:before="40" w:after="40"/>
        <w:ind w:left="283"/>
      </w:pPr>
      <w:r>
        <w:rPr>
          <w:rFonts w:ascii="Calibri" w:hAnsi="Calibri"/>
          <w:b/>
          <w:color w:val="4A6B25"/>
          <w:sz w:val="20"/>
        </w:rPr>
        <w:t xml:space="preserve">3. </w:t>
      </w:r>
      <w:r>
        <w:rPr>
          <w:rFonts w:ascii="Calibri" w:hAnsi="Calibri"/>
          <w:b w:val="0"/>
          <w:color w:val="3A4A28"/>
          <w:sz w:val="20"/>
        </w:rPr>
        <w:t>Multi-asset-class diversification with equities, futures, and international listings (BSX, TISE) reducing dependence on the U.S. options market and opening new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28.4x forward P/E for a recently IPO'd exchange operator with limited public company earnings history, leaving minimal margin of safety against execution disappointment [4][5]</w:t>
      </w:r>
    </w:p>
    <w:p>
      <w:pPr>
        <w:spacing w:before="40" w:after="40"/>
        <w:ind w:left="283"/>
      </w:pPr>
      <w:r>
        <w:rPr>
          <w:rFonts w:ascii="Calibri" w:hAnsi="Calibri"/>
          <w:b/>
          <w:color w:val="4A6B25"/>
          <w:sz w:val="20"/>
        </w:rPr>
        <w:t xml:space="preserve">2. </w:t>
      </w:r>
      <w:r>
        <w:rPr>
          <w:rFonts w:ascii="Calibri" w:hAnsi="Calibri"/>
          <w:b w:val="0"/>
          <w:color w:val="3A4A28"/>
          <w:sz w:val="20"/>
        </w:rPr>
        <w:t>Options market volumes are cyclical and correlated with volatility — the record Q1 2026 volumes may reflect a transient volatility spike rather than a sustainable growth trajectory</w:t>
      </w:r>
    </w:p>
    <w:p>
      <w:pPr>
        <w:spacing w:before="40" w:after="40"/>
        <w:ind w:left="283"/>
      </w:pPr>
      <w:r>
        <w:rPr>
          <w:rFonts w:ascii="Calibri" w:hAnsi="Calibri"/>
          <w:b/>
          <w:color w:val="4A6B25"/>
          <w:sz w:val="20"/>
        </w:rPr>
        <w:t xml:space="preserve">3. </w:t>
      </w:r>
      <w:r>
        <w:rPr>
          <w:rFonts w:ascii="Calibri" w:hAnsi="Calibri"/>
          <w:b w:val="0"/>
          <w:color w:val="3A4A28"/>
          <w:sz w:val="20"/>
        </w:rPr>
        <w:t>Incumbent exchanges (CBOE, Nasdaq, NYSE) with vastly greater resources may respond to MIAX's share gains with aggressive pricing, technology investment, or regulatory lobbying that compresses margins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MIAX's core exchange infrastructure is deeply protected by regulatory moats — SEC-registered national securities exchange licenses require extensive compliance frameworks that AI cannot replicate or bypass [2]. Network effects (liquidity attracts liquidity), high switching costs for integrated market participants, and physical data center infrastructure create additional structural defenses. Exchange operations involve market surveillance, clearinghouse connectivity, and regulatory reporting that require institutional capabilities far beyond AI's reach. AI-driven algorithmic trading actually increases exchange volumes rather than displacing them. The regulatory barrier alone provides a near-permanent moat against AI disruption [2]. AI Opportunity (0/1): MIAX does not generate quantifiable revenue from AI-specific products or services. Exchange technology uses sophisticated matching algorithms but these are not marketed or reported as AI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Miami International Holdings Q1 2026 Earnings Release — record revenue $128.6M, 40% YoY growth, 17.3% market share, May 6, 2026</w:t>
      </w:r>
    </w:p>
    <w:p>
      <w:pPr>
        <w:spacing w:before="20" w:after="20"/>
        <w:ind w:left="170"/>
      </w:pPr>
      <w:r>
        <w:rPr>
          <w:rFonts w:ascii="Calibri" w:hAnsi="Calibri"/>
          <w:b/>
          <w:color w:val="4A6B25"/>
          <w:sz w:val="15"/>
        </w:rPr>
        <w:t xml:space="preserve">2. </w:t>
      </w:r>
      <w:r>
        <w:rPr>
          <w:rFonts w:ascii="Calibri" w:hAnsi="Calibri"/>
          <w:b w:val="0"/>
          <w:color w:val="3A4A28"/>
          <w:sz w:val="17"/>
        </w:rPr>
        <w:t>MIAX Global Website — company overview, exchange platforms, mission, miaxglobal.com,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Miami International Holdings Employee Reviews, 4.1/5.0 rating,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MIAX Key Statistics, Insider Transactions,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MIAX Financial Data, Revenue, Margins, Balance Sheet,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TipRanks — Miami International Holdings Gains Legal Clarity After Nasdaq Dispute,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