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MLCO</w:t>
      </w:r>
      <w:r>
        <w:rPr>
          <w:rFonts w:ascii="Calibri" w:hAnsi="Calibri"/>
          <w:b/>
          <w:color w:val="1A2010"/>
          <w:sz w:val="40"/>
        </w:rPr>
        <w:t xml:space="preserve">  Melco Resorts &amp; Entertainment Limited</w:t>
      </w:r>
    </w:p>
    <w:p>
      <w:pPr>
        <w:spacing w:after="120"/>
      </w:pPr>
      <w:r>
        <w:rPr>
          <w:rFonts w:ascii="Calibri" w:hAnsi="Calibri"/>
          <w:b/>
          <w:color w:val="6E8450"/>
          <w:sz w:val="18"/>
        </w:rPr>
        <w:t>GROWTH SLEEVE · 2026-07-15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NASDAQ · Hong Kong</w:t>
      </w:r>
    </w:p>
    <w:p>
      <w:pPr>
        <w:spacing w:after="80"/>
      </w:pPr>
      <w:r>
        <w:rPr>
          <w:rFonts w:ascii="Calibri" w:hAnsi="Calibri"/>
          <w:b w:val="0"/>
          <w:color w:val="3A4A28"/>
          <w:sz w:val="20"/>
        </w:rPr>
        <w:t>Melco Resorts &amp; Entertainment operates integrated casino resorts in Macau (City of Dreams, Studio City, Altira, Mocha Clubs), the Philippines (City of Dreams Manila), and Cyprus (City of Dreams Mediterranean). Controlled by Chairman and CEO Lawrence Ho, the company is one of only six licensed Macau casino concessionaires, focused on premium-mass gaming and luxury hospitality.</w:t>
      </w:r>
    </w:p>
    <w:p>
      <w:r>
        <w:rPr>
          <w:rFonts w:ascii="Calibri" w:hAnsi="Calibri"/>
          <w:b/>
          <w:color w:val="6E8450"/>
          <w:sz w:val="18"/>
        </w:rPr>
        <w:t>21,000 Employees · https://www.melco-resorts.com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of $1.37B rose 11% YoY, driven by mass market gaming recovery, with operating income of $179M (vs $144.9M prior year) and Adjusted Property EBITDA of $381M (+12%) [1]. REM luxury hotel opening at City of Dreams Macau in Q3 2026 is a property refresh, not a business model innovation. No new category creation or market-defining product in the last 5 years. AI Deployment (0/2): Management referenced 'AI-powered service innovations' in guest experience and hired analytics talent for gaming operations, but no AI products shipping and no quantified AI-driven savings or revenue [2]. Market Share (1/2): One of six licensed Macau concessionaires, but mid-tier behind Galaxy, Sands China, and Wynn Macau in gross gaming revenue market share. City of Dreams is a marquee property but not category-defining [1]. Product Pipeline (1/2): REM hotel phased opening in Q3 2026 is specific with a timeline, and CapEx revised to $425M for 2026 supports ongoing property investment [1]. R&amp;D Intensity (0/1): Casino operators invest in property development and guest technology, not R&amp;D in a technology sense. No meaningful R&amp;D spending reported.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Melco's purpose centers on premium entertainment and hospitality excellence, but the core business is casino gambling — an industry that profits from player losses and carries inherent social harm concerns around addiction [4]. The mission is fundamentally constrained by the product category. Community Impact (1/2): Melco joined S&amp;P's 2026 Sustainability Yearbook and publishes 'Above &amp; Beyond' sustainability reports with a goal to eliminate climate impact by 2030. SME supplier support programs and Macau community initiatives demonstrate some investment, though no specific dollar amounts cited [4]. Employee Retention (1/2): Glassdoor rating of 2.7/5 stars is significantly below average, with employees citing 'culture, senior leadership, management' as primary concerns [2]. The company rehired staff eliminated during COVID, signaling some loyalty, but industry turnover remains high. Insider Buying (0/2): Lawrence Ho is the controlling shareholder with significant equity but no notable net insider buying in the last 12 months at current depressed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8.69 is well below the 20 target, reflecting deep value or distress pricing [5]. Forward PEG of 0.18 is exceptional against the 1.0 target. Revenue growth YoY of 11.3% exceeds the 10% target [5]. However, D/E is effectively negative (book equity is negative with ~$6.94B total debt, yielding a ratio of approximately -561%), scoring 0 at the floor [3]. ROE is technically -370% due to negative equity, scoring 0 despite positive net income of $229M TTM [3]. Profit margin of 4.33% is far below the 20% target (score 0.22) [5]. The Altman Z-Score of 0.49 indicates severe bankruptcy risk. Liquidity floor cleared: 3.23M avg volume x $5.19 = $16.8M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Melco under Lawrence Ho demonstrates founder-led conviction and geographic diversification (Macau, Manila, Cyprus), but operates with a primarily finite mindset. The casino gaming industry is inherently zero-sum — quarterly gross gaming revenue market share drives strategic decisions. Ho's 'full competition mode' framing, the emphasis on GGR ranking versus peers, and the Glassdoor 2.7/5 employee rating all signal finite-game thinking. The business profits from gambling losses, fundamentally capping the Just Cause ceiling.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Melco's stated purpose centers on entertainment excellence and responsible gaming, but the casino industry profits from player losses — gambling addiction is an inherent externality that caps the Just Cause ceiling regardless of execution quality [4]. The sustainability commitment (climate neutrality by 2030) and community programs are genuine but secondary to the core gambling business model.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 stars with 186 reviews is a clear signal of low organizational trust. Employees list 'culture, senior leadership, management' as primary cons [2]. While Melco rehired COVID-eliminated staff showing some loyalty, the overall employee sentiment is well below average. Macau casino industry turnover is structurally high, and the low Glassdoor rating suggests Melco underperforms even within this context.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Ho frames competition in finite terms — 'full competition mode' against Sands China, Galaxy, Wynn, and SJM for Macau GGR market share. The language is about winning share rather than learning from rivals' strengths. Quarterly GGR reporting dominates the competitive narrative.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Melco has expanded from Macau-only to a three-country operator (Philippines, Cyprus) and pivoted from VIP-junket dependence to premium mass gaming after China's 2022 junket crackdown and concession reform [1]. This demonstrates meaningful adaptability, though the core business model (integrated casino resort operation) has remained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Ho invested in Cyprus during the COVID pandemic when Macau was shut down and most operators were retrenching, demonstrating willingness to bet on geographic diversification during distress [1]. However, the Macau concession renewal required compliance with Beijing's non-gaming investment mandates, which was compelled rather than chosen. The $425M CapEx commitment for 2026 shows ongoing investment appetite.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Melco delivered Q1 2026 revenue of $1.37B (up 11% YoY) with operating income of $179M and Adjusted Property EBITDA of $381M (+12%), confirming the Macau premium-mass recovery trajectory [1]. TTM revenue of $5.30B with net income of $229M (+277% YoY) shows the earnings inflection is underway. At a forward P/E of 8.69 and PEG of 0.18, the stock is deeply discounted — 12 analysts rate it 'Buy' with a $7.87 consensus price target representing 52% upside from $5.19 [5]. The REM luxury hotel opening at City of Dreams Macau in Q3 2026 and Cyprus ramp provide incremental growth catalysts. Lawrence Ho's founder-led operating model brings long-term alignment with shareholders.</w:t>
      </w:r>
    </w:p>
    <w:p>
      <w:pPr>
        <w:spacing w:after="120"/>
      </w:pPr>
      <w:r>
        <w:rPr>
          <w:rFonts w:ascii="Calibri" w:hAnsi="Calibri"/>
          <w:b w:val="0"/>
          <w:color w:val="3A4A28"/>
          <w:sz w:val="20"/>
        </w:rPr>
        <w:t>The bear case is severe. Total debt of $6.94B against negative book equity produces a D/E of -561% and an Altman Z-Score of 0.49, indicating substantial bankruptcy risk if the Macau recovery stalls [3][5]. Profit margin of 4.33% is razor-thin for the leverage carried, and ROE is distorted by negative equity. The stock has declined 49% from its 52-week high of $10.15 to $5.19, reflecting market skepticism about the deleveraging timeline [5]. China regulatory risk remains omnipresent — further crackdowns on cross-border capital flows, junket operations, or currency controls could impair Macau GGR at any time. The Glassdoor rating of 2.7/5 and 'Gambling' Inspire attribution signal fundamental concerns about the business model's social impact and organizational health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 luxury hotel phased opening at City of Dreams Macau in Q3 2026 adding premium room inventory to capture high-margin premium-mass gaming segment</w:t>
      </w:r>
    </w:p>
    <w:p>
      <w:pPr>
        <w:spacing w:before="40" w:after="40"/>
        <w:ind w:left="283"/>
      </w:pPr>
      <w:r>
        <w:rPr>
          <w:rFonts w:ascii="Calibri" w:hAnsi="Calibri"/>
          <w:b/>
          <w:color w:val="4A6B25"/>
          <w:sz w:val="20"/>
        </w:rPr>
        <w:t xml:space="preserve">2. </w:t>
      </w:r>
      <w:r>
        <w:rPr>
          <w:rFonts w:ascii="Calibri" w:hAnsi="Calibri"/>
          <w:b w:val="0"/>
          <w:color w:val="3A4A28"/>
          <w:sz w:val="20"/>
        </w:rPr>
        <w:t>Adjusted Property EBITDA growing 12% YoY with Macau mass market recovery, potentially accelerating deleveraging from $6.94B total debt toward investment-grade metrics</w:t>
      </w:r>
    </w:p>
    <w:p>
      <w:pPr>
        <w:spacing w:before="40" w:after="40"/>
        <w:ind w:left="283"/>
      </w:pPr>
      <w:r>
        <w:rPr>
          <w:rFonts w:ascii="Calibri" w:hAnsi="Calibri"/>
          <w:b/>
          <w:color w:val="4A6B25"/>
          <w:sz w:val="20"/>
        </w:rPr>
        <w:t xml:space="preserve">3. </w:t>
      </w:r>
      <w:r>
        <w:rPr>
          <w:rFonts w:ascii="Calibri" w:hAnsi="Calibri"/>
          <w:b w:val="0"/>
          <w:color w:val="3A4A28"/>
          <w:sz w:val="20"/>
        </w:rPr>
        <w:t>Forward PEG of 0.18 and 52% analyst price target upside ($7.87 vs $5.19) suggest deep value if Macau recovery sustains through H2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book equity with $6.94B total debt and Altman Z-Score of 0.49 indicates severe financial distress — any Macau GGR deceleration could trigger covenant stress or restrict dividend reinstatement</w:t>
      </w:r>
    </w:p>
    <w:p>
      <w:pPr>
        <w:spacing w:before="40" w:after="40"/>
        <w:ind w:left="283"/>
      </w:pPr>
      <w:r>
        <w:rPr>
          <w:rFonts w:ascii="Calibri" w:hAnsi="Calibri"/>
          <w:b/>
          <w:color w:val="4A6B25"/>
          <w:sz w:val="20"/>
        </w:rPr>
        <w:t xml:space="preserve">2. </w:t>
      </w:r>
      <w:r>
        <w:rPr>
          <w:rFonts w:ascii="Calibri" w:hAnsi="Calibri"/>
          <w:b w:val="0"/>
          <w:color w:val="3A4A28"/>
          <w:sz w:val="20"/>
        </w:rPr>
        <w:t>China regulatory risk remains existential — crackdowns on cross-border capital flows, junket operations, or digital yuan capital controls could materially impair Macau gaming revenue without warning</w:t>
      </w:r>
    </w:p>
    <w:p>
      <w:pPr>
        <w:spacing w:before="40" w:after="40"/>
        <w:ind w:left="283"/>
      </w:pPr>
      <w:r>
        <w:rPr>
          <w:rFonts w:ascii="Calibri" w:hAnsi="Calibri"/>
          <w:b/>
          <w:color w:val="4A6B25"/>
          <w:sz w:val="20"/>
        </w:rPr>
        <w:t xml:space="preserve">3. </w:t>
      </w:r>
      <w:r>
        <w:rPr>
          <w:rFonts w:ascii="Calibri" w:hAnsi="Calibri"/>
          <w:b w:val="0"/>
          <w:color w:val="3A4A28"/>
          <w:sz w:val="20"/>
        </w:rPr>
        <w:t>Profit margin of 4.33% provides no cushion for the leverage carried — a single weak quarter could push the company back into losses and accelerate the 49% stock decline from the 52-week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Physical casino resort operations — gaming floors, hotel rooms, restaurants, entertainment venues, and the Macau travel experience — are structurally insulated from AI disruption. People travel to Macau to be physically present, not to interact with a model [2]. Only six operators hold Macau gaming concessions, creating a regulatory moat AI cannot breach. However, online gambling and iGaming platforms powered by AI could incrementally pressure land-based gaming margins over time, preventing a full IMMUNE score. AI Opportunity (0/1): Melco references 'AI-powered service innovations' in guest experience and has hired analytics talent for data-driven gaming operations, but no quantifiable AI revenue or specific cost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Melco Resorts Q1 2026 Earnings Release — 6-K Filing, SEC, May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and CEO Today Leadership Profile — Melco Resorts,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Macrotrends and GuruFocus — MLCO Debt-to-Equity and Financial Ratios,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Melco Resorts 2024 Sustainability Report and S&amp;P 2026 Sustainability Yearbook — melco-resorts.com</w:t>
      </w:r>
    </w:p>
    <w:p>
      <w:pPr>
        <w:spacing w:before="20" w:after="20"/>
        <w:ind w:left="170"/>
      </w:pPr>
      <w:r>
        <w:rPr>
          <w:rFonts w:ascii="Calibri" w:hAnsi="Calibri"/>
          <w:b/>
          <w:color w:val="4A6B25"/>
          <w:sz w:val="15"/>
        </w:rPr>
        <w:t xml:space="preserve">5. </w:t>
      </w:r>
      <w:r>
        <w:rPr>
          <w:rFonts w:ascii="Calibri" w:hAnsi="Calibri"/>
          <w:b w:val="0"/>
          <w:color w:val="3A4A28"/>
          <w:sz w:val="17"/>
        </w:rPr>
        <w:t>Stock Analysis — MLCO Key Statistics,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