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MLECW</w:t>
      </w:r>
      <w:r>
        <w:rPr>
          <w:rFonts w:ascii="Calibri" w:hAnsi="Calibri"/>
          <w:b/>
          <w:color w:val="1A2010"/>
          <w:sz w:val="40"/>
        </w:rPr>
        <w:t xml:space="preserve">  Moolec Science SA Warrant</w:t>
      </w:r>
    </w:p>
    <w:p>
      <w:pPr>
        <w:spacing w:after="120"/>
      </w:pPr>
      <w:r>
        <w:rPr>
          <w:rFonts w:ascii="Calibri" w:hAnsi="Calibri"/>
          <w:b/>
          <w:color w:val="6E8450"/>
          <w:sz w:val="18"/>
        </w:rPr>
        <w:t>GROWTH SLEEVE · 2026-07-25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Cayman Islands</w:t>
      </w:r>
    </w:p>
    <w:p>
      <w:pPr>
        <w:spacing w:after="80"/>
      </w:pPr>
      <w:r>
        <w:rPr>
          <w:rFonts w:ascii="Calibri" w:hAnsi="Calibri"/>
          <w:b w:val="0"/>
          <w:color w:val="3A4A28"/>
          <w:sz w:val="20"/>
        </w:rPr>
        <w:t>MLECW is a warrant (expiring December 30, 2027) on Moolec Science SA (MLEC), a science-based ingredient company developing molecular farming technology to produce animal proteins in plants, and precision fermentation platforms for food, pet food, animal feed, and dietary supplements. Moolec completed a transformative three-way business combination in June 2025. AIGC acquired a 65% controlling stake. CEO Alejandro Antalich succeeded founder Gaston Paladini in April 2025.</w:t>
      </w:r>
    </w:p>
    <w:p>
      <w:r>
        <w:rPr>
          <w:rFonts w:ascii="Calibri" w:hAnsi="Calibri"/>
          <w:b/>
          <w:color w:val="6E8450"/>
          <w:sz w:val="18"/>
        </w:rPr>
        <w:t>https://www.moolecscience.com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Moolec achieved a molecular farming breakthrough in February 2026 with its GLASO safflower platform delivering 45% gamma-linolenic acid concentration, and secured a three-year offtake agreement with a major global CPG company [1]. The June 2025 three-way business combination expanded the platform across food ingredients, ag-biologicals, precision fermentation, and biomaterials [2]. However, TTM revenue of $7.83M declined 43.93% and these remain early-stage milestones without proven commercial scale [4]. AI Deployment (0/2): No evidence of AI deployment or AI-driven efficiencies; the company relies on genetic engineering and fermentation biology [3]. Market Share (1/2): Moolec holds a niche first-mover position in molecular farming — producing real animal proteins directly in plants — which is a novel approach distinct from both plant-based proteins and cell-cultured meat. The GLASO product shows category-defining potential [1]. Pipeline (1/2): Pipeline includes GLASO safflower (commercial offtake secured), precision fermentation via Nutrecon acquisition, and biomaterials, though timelines for meaningful revenue scale remain unclear [1][2]. R&amp;D Intensity (1/1): Significant R&amp;D investment relative to revenue — the company's spending profile is near-100% R&amp;D intensity given minimal product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Moolec's mission of 'planting the future of food' and engineering plants to produce sustainable protein solutions connects to a meaningful purpose around food system transformation and sustainability [3]. The mission identifies what and why but has not been validated through commercial execution. Community Impact (0/2): No evidence of specific charitable programs or community investment beyond the company's inherent sustainability positioning. Employee Retention (0/2): No employee headcount reported, and the radical restructuring through the three-way merger, CEO departure (Paladini resigned April 2025), and AIGC taking 65% control likely creates organizational instability [2]. Insider Buying (1/2): AIGC's 65% controlling stake acquisition represents significant capital commitment and alignment, and CEO Antalich brings equity alignment through the business combination, though no open-market insider purchases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MLECW (warrant expiring December 30, 2027) has historically shown zero or near-zero average daily trading volume, making this derivative security effectively illiquid and untradeable [4]. Infrastructure score is automatically set to 0. The underlying MLEC common stock has recovered significantly to $7.18, regaining NASDAQ compliance as of June 2, 2026 after trading below the $1.00 minimum bid requirement, though the company remains under a 12-month monitoring period [2][4]. The combined entity reports TTM revenue of $7.83M (down 43.93%), and analysts forecast 2026 revenue of approximately $6.4M with continued losses of -$55M projected [4]. While the MLEC recovery is notable, the warrant's illiquidity and derivative nature make it unsuitable for the IOWN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Moolec Science is playing a survival game rather than an infinite game. The company has undergone radical restructuring through a three-way business combination, CEO departure, and acquisition of 65% control by AIGC. While the molecular farming vision is compelling, the company's leadership instability, financial distress, and NASDAQ monitoring period make long-term endurance uncertain. Strategic decisions appear driven by financial necessity rather than a deepening commitment to the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Moolec's vision of transforming food production through molecular farming — making real animal proteins in plants sustainably — is a genuine cause connecting to global food security and environmental sustainability [3]. However, the cause is young and unvalidated by sustained execution. The three-way merger diluted focus into ag-biologicals, biomaterials, and R&amp;D services, and the AIGC takeover further shifts control from cause-driven founders. Score: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Gaston Paladini resigned in April 2025, replaced by Alejandro Antalich (previously Nutrecon CEO). The three-way merger brought three organizations under new leadership, and AIGC's 65% controlling stake represents another governance shift [2]. These serial changes create significant cultural uncertainty. No employee headcount or retention data is available.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Moolec positions itself as uniquely differentiated — producing real animal proteins in plants versus competitors in plant-based proteins (Beyond, Impossible) or cell-cultured meat (Upside Foods) [3]. No evidence of management acknowledging rivals' strengths or using competition for self-improvement.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three-way business combination merging molecular farming with precision fermentation and biomaterials demonstrates dramatic strategic flexibility, as does AIGC acquiring a controlling 65% stake [2]. However, these pivots appear driven by financial survival rather than strategic choice in service of the Just Cause. The rapid succession of structural changes (merger, CEO change, controlling shareholder change) suggests reactive rather than proactive flexibility. Score: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molecular farming concept itself is scientifically courageous, and the GLASO safflower breakthrough achieving 45% GLA concentration demonstrates technical ambition [1]. However, the CEO departure, AIGC takeover, and NASDAQ compliance challenges suggest the company is being restructured by external forces rather than led by courageous internal decisions. No evidence of leadership sacrificing near-term results for long-term capability. Score: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Moolec Science holds genuinely novel molecular farming technology — engineering plants to produce real animal proteins — with its GLASO safflower platform achieving 45% gamma-linolenic acid concentration and securing a three-year offtake agreement with a major CPG company [1]. The underlying MLEC stock has recovered dramatically from sub-$1.00 (NASDAQ delisting risk) to $7.18, regaining compliance in June 2026 [4]. AIGC's 65% controlling stake acquisition provides a well-capitalized strategic partner, and CEO Antalich brings operational credibility from scaling Nutrecon [2]. Analysts forecast ~$6.4M in 2026 revenue with the $40M+ profit guidance (if achieved) representing a potential inflection point for the combined entity [4].</w:t>
      </w:r>
    </w:p>
    <w:p>
      <w:pPr>
        <w:spacing w:after="120"/>
      </w:pPr>
      <w:r>
        <w:rPr>
          <w:rFonts w:ascii="Calibri" w:hAnsi="Calibri"/>
          <w:b w:val="0"/>
          <w:color w:val="3A4A28"/>
          <w:sz w:val="20"/>
        </w:rPr>
        <w:t>MLECW is a warrant — a derivative security expiring December 30, 2027 — on a micro-cap company with fundamental financial challenges, making it extremely high-risk. The warrant has historically traded with zero daily volume, rendering it effectively untradeable [4]. While MLEC's common stock recovery to $7.18 is notable, the company's TTM revenue declined 43.93% to $7.83M, and analysts project continued losses of -$55M in 2026 [4]. The CEO departure (Paladini), AIGC takeover (65% stake), and NASDAQ monitoring period signal ongoing governance and structural uncertainty [2]. With the warrant expiring in approximately 17 months and the strike price likely at $11.50 (standard SPAC warrant terms), MLECW requires MLEC to rally another 60%+ from current levels just to reach intrinsic value — a high bar for a company still burning cash. The warrant carries high probability of expiring worthless or with minimal recovery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MLEC stock recovery from sub-$1.00 to $7.18 with NASDAQ compliance regained in June 2026, potentially enabling institutional participation if monitoring period passes cleanly [2][4]</w:t>
      </w:r>
    </w:p>
    <w:p>
      <w:pPr>
        <w:spacing w:before="40" w:after="40"/>
        <w:ind w:left="283"/>
      </w:pPr>
      <w:r>
        <w:rPr>
          <w:rFonts w:ascii="Calibri" w:hAnsi="Calibri"/>
          <w:b/>
          <w:color w:val="4A6B25"/>
          <w:sz w:val="20"/>
        </w:rPr>
        <w:t xml:space="preserve">2. </w:t>
      </w:r>
      <w:r>
        <w:rPr>
          <w:rFonts w:ascii="Calibri" w:hAnsi="Calibri"/>
          <w:b w:val="0"/>
          <w:color w:val="3A4A28"/>
          <w:sz w:val="20"/>
        </w:rPr>
        <w:t>GLASO safflower commercial offtake with major CPG company providing first validated molecular farming revenue stream at 45% GLA concentration [1]</w:t>
      </w:r>
    </w:p>
    <w:p>
      <w:pPr>
        <w:spacing w:before="40" w:after="40"/>
        <w:ind w:left="283"/>
      </w:pPr>
      <w:r>
        <w:rPr>
          <w:rFonts w:ascii="Calibri" w:hAnsi="Calibri"/>
          <w:b/>
          <w:color w:val="4A6B25"/>
          <w:sz w:val="20"/>
        </w:rPr>
        <w:t xml:space="preserve">3. </w:t>
      </w:r>
      <w:r>
        <w:rPr>
          <w:rFonts w:ascii="Calibri" w:hAnsi="Calibri"/>
          <w:b w:val="0"/>
          <w:color w:val="3A4A28"/>
          <w:sz w:val="20"/>
        </w:rPr>
        <w:t>AIGC's 65% controlling stake providing well-capitalized strategic backing and operational resources to execute on the combined life sciences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MLECW warrant has historically zero trading volume and expires December 30, 2027 — only 17 months of time value remaining with strike price likely well above current MLEC price [4]</w:t>
      </w:r>
    </w:p>
    <w:p>
      <w:pPr>
        <w:spacing w:before="40" w:after="40"/>
        <w:ind w:left="283"/>
      </w:pPr>
      <w:r>
        <w:rPr>
          <w:rFonts w:ascii="Calibri" w:hAnsi="Calibri"/>
          <w:b/>
          <w:color w:val="4A6B25"/>
          <w:sz w:val="20"/>
        </w:rPr>
        <w:t xml:space="preserve">2. </w:t>
      </w:r>
      <w:r>
        <w:rPr>
          <w:rFonts w:ascii="Calibri" w:hAnsi="Calibri"/>
          <w:b w:val="0"/>
          <w:color w:val="3A4A28"/>
          <w:sz w:val="20"/>
        </w:rPr>
        <w:t>Serial governance instability — CEO Paladini departed April 2025, AIGC took 65% control, and NASDAQ monitoring continues through mid-2027, creating compounding uncertainty [2]</w:t>
      </w:r>
    </w:p>
    <w:p>
      <w:pPr>
        <w:spacing w:before="40" w:after="40"/>
        <w:ind w:left="283"/>
      </w:pPr>
      <w:r>
        <w:rPr>
          <w:rFonts w:ascii="Calibri" w:hAnsi="Calibri"/>
          <w:b/>
          <w:color w:val="4A6B25"/>
          <w:sz w:val="20"/>
        </w:rPr>
        <w:t xml:space="preserve">3. </w:t>
      </w:r>
      <w:r>
        <w:rPr>
          <w:rFonts w:ascii="Calibri" w:hAnsi="Calibri"/>
          <w:b w:val="0"/>
          <w:color w:val="3A4A28"/>
          <w:sz w:val="20"/>
        </w:rPr>
        <w:t>Revenue declining 43.93% to $7.83M TTM with -$55M projected 2026 losses; achieving the $40M+ profit guidance requires extraordinary execution from a newly combined organization with no operating track record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Moolec Science's core business — molecular farming (genetically engineering plants to produce proteins) and precision fermentation — involves physical biological processes that AI cannot substitute [1][3]. Growing safflower plants that express gamma-linolenic acid, manufacturing fermentation products, and agricultural operations are inherently physical-world activities. The company's competitive advantage lies in proprietary genetics and biological IP (plant genome engineering), which requires wet-lab biology and field trials that AI cannot replicate. AI may enhance some aspects of genetic design and fermentation optimization but poses no substitution risk to the core business model. AI Opportunity (0/1): No evidence of AI-generated revenue or AI-powered products shipping to customers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Moolec Science GLASO safflower breakthrough — 45% GLA concentration, CPG offtake agreement, molecular farming milestone, February 2026</w:t>
      </w:r>
    </w:p>
    <w:p>
      <w:pPr>
        <w:spacing w:before="20" w:after="20"/>
        <w:ind w:left="170"/>
      </w:pPr>
      <w:r>
        <w:rPr>
          <w:rFonts w:ascii="Calibri" w:hAnsi="Calibri"/>
          <w:b/>
          <w:color w:val="4A6B25"/>
          <w:sz w:val="15"/>
        </w:rPr>
        <w:t xml:space="preserve">2. </w:t>
      </w:r>
      <w:r>
        <w:rPr>
          <w:rFonts w:ascii="Calibri" w:hAnsi="Calibri"/>
          <w:b w:val="0"/>
          <w:color w:val="3A4A28"/>
          <w:sz w:val="17"/>
        </w:rPr>
        <w:t>Moolec Science corporate developments — three-way business combination June 2025, Paladini departure April 2025, AIGC 65% stake, Antalich as CEO, NASDAQ compliance June 2026</w:t>
      </w:r>
    </w:p>
    <w:p>
      <w:pPr>
        <w:spacing w:before="20" w:after="20"/>
        <w:ind w:left="170"/>
      </w:pPr>
      <w:r>
        <w:rPr>
          <w:rFonts w:ascii="Calibri" w:hAnsi="Calibri"/>
          <w:b/>
          <w:color w:val="4A6B25"/>
          <w:sz w:val="15"/>
        </w:rPr>
        <w:t xml:space="preserve">3. </w:t>
      </w:r>
      <w:r>
        <w:rPr>
          <w:rFonts w:ascii="Calibri" w:hAnsi="Calibri"/>
          <w:b w:val="0"/>
          <w:color w:val="3A4A28"/>
          <w:sz w:val="17"/>
        </w:rPr>
        <w:t>Moolec Science corporate website — mission ('planting the future of food'), molecular farming technology, precision fermentation,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Yahoo Finance / Wall Street estimates — MLEC at $7.18, MLECW warrant, TTM revenue $7.83M, 2026 estimates,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