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MNKD</w:t>
      </w:r>
      <w:r>
        <w:rPr>
          <w:rFonts w:ascii="Calibri" w:hAnsi="Calibri"/>
          <w:b/>
          <w:color w:val="1A2010"/>
          <w:sz w:val="40"/>
        </w:rPr>
        <w:t xml:space="preserve">  MannKind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2026-08-26 · Inspire: 46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MannKind Corporation is a biopharmaceutical company built around its Technosphere inhaled drug delivery platform, marketing Afrezza (inhaled insulin) and V-Go, and earning royalties on United Therapeutics' Tyvaso DPI for pulmonary arterial hypertension. The October 2025 acquisition of scPharmaceuticals added Furoscix, an at-home subcutaneous diuretic for heart failure, diversifying MannKind beyond diabetes into cardio-renal care [1]. Q2 2026 total revenue reached $109.4M, up 43% YoY, though rising SG&amp;A tied to the Furoscix launch has widened net losses.</w:t>
      </w:r>
    </w:p>
    <w:p>
      <w:r>
        <w:rPr>
          <w:rFonts w:ascii="Calibri" w:hAnsi="Calibri"/>
          <w:b/>
          <w:color w:val="6E8450"/>
          <w:sz w:val="18"/>
        </w:rPr>
        <w:t>https://mannkindcorp.com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MannKind has delivered multiple concrete wins in the last five years — FDA approval of Afrezza's pediatric indication, approval of the Furoscix ReadyFlow autoinjector, and the transformative October 2025 acquisition of scPharmaceuticals that opened an entirely new cardio-renal revenue stream on top of the existing Tyvaso DPI royalty business [1]. AI Deployment (0/2): No evidence was found of AI-powered products or internally reported AI-driven cost savings; this is a traditional pharma manufacturing and commercialization model. Market Share (1/2): Tyvaso DPI is a meaningful and growing royalty stream via partner United Therapeutics (royalties up 9% YoY), but Afrezza remains a niche product in the vastly larger insulin market and Furoscix is an early-stage entrant in the diuretic space — MannKind is a meaningful player rather than a category leader [1]. Product Pipeline (2/2): Positive Phase 1b data for nintedanib DPI (MNKD-201) and a $5M milestone payment from United Therapeutics tied to ralinepag DPI give the pipeline specific, named next steps [1]. R&amp;D Intensity (0/1): No specific R&amp;D-to-revenue figure relative to industry peers was found in research, so this item is scored conservatively at zero despite visible clinical-stage activity.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MannKind's mission centers on advancing inhaled drug delivery (the Technosphere platform) to improve outcomes for patients with endocrine and pulmonary/cardio-renal diseases — a clear, healthcare-specific purpose, but one that reads similarly to many specialty pharma peers rather than a deeply distinctive cause [1]. Community Impact (0/2): No evidence of charitable programs, foundations, or community investment was found. Employee Retention (0/2): Glassdoor reviews are mixed — 86% of reviewers would recommend the company to a friend and describe an approachable, collaborative culture, but other reviews cite a 'blame centric' atmosphere, stressed leadership, and common layoffs, and no hard tenure or turnover data was available to score above baseline [2]. Insider Buying (0/2): No evidence of net insider buying by executives was found in research.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MannKind clears the liquidity floor easily (avg daily volume of ~5.06M shares × $4.16 = ~$21.1M). Revenue growth YoY of 42.9% (yfinance), consistent with the reported 43% Q2 2026 growth to $109.4M, is well above the 10% target and scores at the cap [1]. Forward P/E of 32.6x is above the 20x target but far from the 60x floor, contributing partial credit. Profit margin of -11.08% is below the 0% floor and scores zero, reflecting the net losses driven by Furoscix launch costs. Debt-to-equity, ROE, 5-year revenue CAGR, and Forward PEG were unavailable from yfinance and are excluded from the weighted calculation rather than penalized.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MannKind is a company mid-transformation: after years defined by the struggling standalone Afrezza launch, it has diversified into a platform business anchored by Tyvaso DPI royalties and, since October 2025, the Furoscix cardio-renal franchise. Sinek would credit the willingness to absorb near-term losses (SG&amp;A up 84% behind the Furoscix launch) to build a more durable multi-product platform, but would note the company has not yet articulated a Just Cause beyond 'diversify and grow,' and mixed Glassdoor commentary on a 'blame centric' culture tempers confidence in organizational trust.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MannKind's Technosphere platform purpose — delivering therapeutics through inhalation to improve patient outcomes across diabetes, pulmonary hypertension, and now heart failure — is genuine and has shaped the scPharmaceuticals acquisition, but it has not been publicly articulated as a resilient, decades-spanning cause and remains closer to a strategic diversification thesis than a Just Cause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Glassdoor shows 86% of reviewers would recommend MannKind to a friend, citing a collaborative, approachable leadership style and flexible work arrangements, but other reviews describe a 'blame centric' atmosphere, stressed leadership, and layoffs as common — a mixed picture that lands at 'adequate' rather than exceptional trust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management commentary was found framing competitors (large insulin makers, other inhaled-therapeutics or heart-failure device companies) as sources of learning or improvement; research did not surface either a finite 'beat the rivals' posture or an explicit infinite-minded competitive philosophy.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MannKind fundamentally reinvented its business model by acquiring scPharmaceuticals for Furoscix in October 2025, moving from a company whose fortunes rode almost entirely on Afrezza and Tyvaso DPI royalties into a diversified specialty pharma platform spanning diabetes, pulmonary hypertension, and heart failure [1]. The move was made knowing it would pressure near-term profitability (net loss widened to $19.0M in Q2 2026 on higher SG&amp;A) in service of long-term platform diversification.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Leadership accepted a swing from net income of $0.7M to a $19.0M net loss in Q2 2026 as SG&amp;A rose 84% to support the Furoscix launch and pediatric Afrezza rollout — a clear example of prioritizing long-term commercial capability over near-term earnings [1]. A second, sustained pattern of such bets was not established in research.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MannKind is executing a real diversification story: Q2 2026 revenue of $109.4M (+43% YoY) and H1 2026 revenue of $199.5M reflect the addition of Furoscix ($22.2M in Q2), continued Afrezza sales ($17.0M), and growing Tyvaso DPI royalties (+9%) from partner United Therapeutics, with management guiding to a ~$450M 2026 revenue run rate [1]. The company's Technosphere inhaled-delivery platform is a durable, regulated moat that AI cannot disintermediate, and recent approvals (Afrezza pediatric indication, Furoscix ReadyFlow autoinjector) plus positive Phase 1b data for nintedanib DPI extend the growth runway.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profitability: MannKind swung from net income of $13.2M to a $16.6M net loss in Q1 2026, and from $0.7M net income to a $19.0M net loss in Q2 2026, as SG&amp;A rose 84% to fund the Furoscix commercial launch — profit margin sits at roughly -11%, well below the Infrastructure target [1]. The scPharmaceuticals acquisition adds integration risk and a new competitive set in cardio-renal care where MannKind has no prior commercial track record. With no ROE, D/E, or 5-year revenue CAGR data available and Forward P/E at 32.6x, the stock is priced for the growth diversification thesis to work — any stumble in the Furoscix ramp or a slowdown in Tyvaso DPI royalty growth would remove the primary supports under the current valuation.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Furoscix ramp toward the ~$450M 2026 total revenue run rate guided by management, following its addition via the scPharmaceuticals acquisition in October 2025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Progression of nintedanib DPI (MNKD-201) following positive Phase 1b data, and continued milestone payments from United Therapeutics tied to ralinepag DPI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Path to profitability as Furoscix launch-related SG&amp;A normalizes relative to the growing royalty and product revenue base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Widening net losses ($19.0M in Q2 2026 vs. $0.7M net income a year earlier) driven by an 84% increase in SG&amp;A tied to the Furoscix launch, with no confirmed path back to profitability disclosed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Integration risk from the scPharmaceuticals acquisition as MannKind enters the competitive heart-failure diuretic market with no prior commercial track record in cardio-renal care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dependence on United Therapeutics for Tyvaso DPI royalty revenue concentrates counterparty and partnership risk in a key growth driver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MannKind's business is FDA-regulated drug manufacturing and delivery-device commercialization — physical inhaler and injector products, GMP manufacturing facilities, and clinical trial pathways that AI cannot substitute or disintermediate [1]. No analyst commentary surfaced flagging AI disruption risk to inhaled drug delivery or specialty pharma commercialization; if anything, AI-assisted drug discovery could eventually aid MannKind's pipeline work rather than threaten its existing royalty and product revenue. AI Opportunity (0/1): No quantified AI-related revenue or AI-specific product initiative was found — this is a traditional biopharma commercial model without a disclosed AI revenue contribution.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46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MannKind Q1 2026 revenue $90.2M (+15% YoY), Q2 2026 revenue $109.4M (+43% YoY), H1 2026 revenue $199.5M, Furoscix/Afrezza/Tyvaso DPI breakdown, $450M 2026 revenue run-rate guidance — Yahoo Finance, Seeking Alpha, StockTitan,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MannKind Corporation Glassdoor employee reviews (86% recommend to a friend, mixed 'blame centric' culture commentary), Comparably executive team ratings — Glassdoor, Comparably,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/ yfinance — MNKD key statistics: price $4.16, forward P/E 32.63x, profit margin -11.08%, revenue growth YoY 42.9%, avg daily volume 5.06M shares,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