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MNTS</w:t>
      </w:r>
      <w:r>
        <w:rPr>
          <w:rFonts w:ascii="Calibri" w:hAnsi="Calibri"/>
          <w:b/>
          <w:color w:val="1A2010"/>
          <w:sz w:val="40"/>
        </w:rPr>
        <w:t xml:space="preserve">  Momentus Inc.</w:t>
      </w:r>
    </w:p>
    <w:p>
      <w:pPr>
        <w:spacing w:after="120"/>
      </w:pPr>
      <w:r>
        <w:rPr>
          <w:rFonts w:ascii="Calibri" w:hAnsi="Calibri"/>
          <w:b/>
          <w:color w:val="6E8450"/>
          <w:sz w:val="18"/>
        </w:rPr>
        <w:t>GROWTH SLEEVE · 2026-07-10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Momentus Inc. designs and manufactures in-space infrastructure, providing orbital transportation, hosted payload, and in-orbit servicing solutions including last-mile satellite delivery, refueling, inspection, and debris removal. The company operates the Vigoride Orbital Service Vehicle (OSV) utilizing proprietary Microwave Electrothermal Thrusters (MET) powered by water propellant. Serves commercial and government clients including NASA and the U.S. Department of Defense. Founded in 2017, headquartered in San Jose, California.</w:t>
      </w:r>
    </w:p>
    <w:p>
      <w:r>
        <w:rPr>
          <w:rFonts w:ascii="Calibri" w:hAnsi="Calibri"/>
          <w:b/>
          <w:color w:val="6E8450"/>
          <w:sz w:val="18"/>
        </w:rPr>
        <w:t>75 Employees · https://momentus.space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Vigoride-7 OSV successfully deployed 10 hosted payloads into orbit in March 2026, marking the company's first fully successful commercial mission after years of delays and setbacks [1]. However, prior missions faced significant technical issues and the company's history includes an SEC settlement for falsifying test results and forced founder departure. AI Deployment (0/2): No AI products or deployment evident; the company's operations are entirely hardware and propulsion-focused. Market Share (0/2): Tiny participant in a market dominated by SpaceX Rideshare and Rocket Lab, with no meaningful share differentiation [2]. Product Pipeline (1/2): Selected as qualified vendor for MDA SHIELD program ($151B multi-award ceiling over ten years) and holds milestone-based contracts with NASA and DoD, providing some pipeline visibility [1][3]. R&amp;D Intensity (1/1): R&amp;D spending is extremely high relative to revenue given the company's pre-profitability stage, consistent with deep-tech space companies investing in proprietary MET propulsion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Momentus's tagline of 'Powering In-Space Transportation' identifies what the company does clearly and connects to the broader purpose of making space more accessible, but lacks distinctive depth or articulation beyond the business description [2]. The mission does not articulate a deeper 'why' that differentiates from other space transportation companies. Community Impact (0/2): No evidence of charitable giving, foundation, or community programs found. Employee Retention (0/2): No public data on employee tenure or turnover. The company has undergone significant leadership churn including forced founder departure and multiple CEO transitions before John Rood's appointment in 2023. Insider Buying (0/2): No evidence of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balance sheet is relatively clean with D/E of 35.3% and no outstanding debt after retiring $1.35M in convertible notes in April 2026 [1]. Cash position strengthened to $26.2M with additional equity financing pushing pro forma liquidity toward $76M [4]. However, ROE is deeply negative at -318.8% reflecting ongoing operating losses, and profit margins are catastrophically negative at -270% as the company burns significant cash relative to minimal revenue [1]. Revenue growth is explosive from a near-zero base — Q1 2026 revenue of $3.22M versus $0.32M in Q1 2025 — but the absolute scale remains tiny. Forward P/E and PEG unavailable due to unprofitability.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Momentus under John Rood has stabilized from near-death but remains in survival mode rather than playing an infinite game. The company's turbulent history — founder ousted over foreign ownership concerns, SEC settlement for falsified test results, $8.5M class action settlement, and repeated going-concern warnings — reflects a finite player fighting quarter-to-quarter rather than building to endure. The pivot to government defense contracts is pragmatic but driven by survival necessity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Momentus articulates a purpose around enabling in-space transportation, and under CEO John Rood the strategic focus shifted toward government infrastructure projects including autonomous RPO and in-space assembly [2][3]. However, this reads more as a business pivot for survival than a deeply held cause. The company's frequent leadership transitions, SEC settlement for falsifying test results, and going-concern warnings undermine any claim to purpose-driven leadership [4]. The 'cause' changes with each leadership regime.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company's history reflects a low-trust environment. Co-founder Mikhail Kokorich was forced out due to U.S. government foreign ownership concerns, followed by an SEC settlement for falsified prototype test results and an $8.5M class action lawsuit settlement [4]. Multiple leadership transitions and organizational instability over a short corporate life create an environment where trust is difficult to build. No evidence of employee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company's competitive landscape includes SpaceX Rideshare, Rocket Lab, and other space transportation providers, but Momentus's public communications focus on its own contract wins and technology rather than acknowledging competitors' strengths or learning from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Momentus has demonstrated some strategic flexibility by pivoting from its original commercial space transport focus to government defense and national security contracts under CEO John Rood [3]. The MDA SHIELD qualification and NASA partnerships represent a meaningful strategic shift. However, this pivot was driven by commercial market failure and survival necessity rather than a visionary choice to serve a Just Cause — Sinek would classify this as reactive adaptation,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The company has been in survival mode for most of its public life, with going-concern warnings, cash crises, and the need for repeated equity financings [4]. Leadership decisions have been driven by necessity rather than conviction. The recent capital raises and debt retirement are positive but represent basic corporate survival, not courageous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Momentus is at a genuine inflection point after years of near-death experiences. Q1 2026 revenue of $3.22M (versus $0.32M in Q1 2025) from the Vigoride-7 mission deploying 10 payloads validates the technology after years of delays [1]. The company forecasts $10M in 2026 revenue (9x increase), has been selected for the MDA SHIELD program ($151B multi-award ceiling), and holds NASA and DoD contracts that provide a pathway to meaningful scale [1][3]. With $26.2M in cash, no debt, and recent equity financings pushing pro forma liquidity to ~$76M, the near-term survival question is finally answered [4]. The space infrastructure services market is expected to grow significantly as satellite constellations proliferate and in-orbit servicing becomes critical for both commercial and defense customers.</w:t>
      </w:r>
    </w:p>
    <w:p>
      <w:pPr>
        <w:spacing w:after="120"/>
      </w:pPr>
      <w:r>
        <w:rPr>
          <w:rFonts w:ascii="Calibri" w:hAnsi="Calibri"/>
          <w:b w:val="0"/>
          <w:color w:val="3A4A28"/>
          <w:sz w:val="20"/>
        </w:rPr>
        <w:t>The bear case centers on execution risk and the enormous gap between where Momentus is and where it needs to be. At $10M projected 2026 revenue against a ~$110M market cap, the stock prices in substantial future growth that remains unproven [1]. The company has a troubled history — SEC settlement for falsified test results, forced founder departure, class action settlement, and repeated going-concern warnings — that creates legitimate skepticism about management credibility [4]. The space transportation market is intensely competitive, with SpaceX Rideshare offering far cheaper alternatives for basic deployment. Momentus must prove its orbital servicing and hosted payload capabilities justify premium pricing against well-capitalized competitors. The $9.48M Q1 net loss reminds investors that profitability remains years away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remaining 2026 government contracts could validate the $10M revenue forecast and prove operational repeatability beyond a single mission</w:t>
      </w:r>
    </w:p>
    <w:p>
      <w:pPr>
        <w:spacing w:before="40" w:after="40"/>
        <w:ind w:left="283"/>
      </w:pPr>
      <w:r>
        <w:rPr>
          <w:rFonts w:ascii="Calibri" w:hAnsi="Calibri"/>
          <w:b/>
          <w:color w:val="4A6B25"/>
          <w:sz w:val="20"/>
        </w:rPr>
        <w:t xml:space="preserve">2. </w:t>
      </w:r>
      <w:r>
        <w:rPr>
          <w:rFonts w:ascii="Calibri" w:hAnsi="Calibri"/>
          <w:b w:val="0"/>
          <w:color w:val="3A4A28"/>
          <w:sz w:val="20"/>
        </w:rPr>
        <w:t>MDA SHIELD program task orders beginning in late 2026-2027 could provide recurring defense revenue at significantly higher margins than commercial deployments</w:t>
      </w:r>
    </w:p>
    <w:p>
      <w:pPr>
        <w:spacing w:before="40" w:after="40"/>
        <w:ind w:left="283"/>
      </w:pPr>
      <w:r>
        <w:rPr>
          <w:rFonts w:ascii="Calibri" w:hAnsi="Calibri"/>
          <w:b/>
          <w:color w:val="4A6B25"/>
          <w:sz w:val="20"/>
        </w:rPr>
        <w:t xml:space="preserve">3. </w:t>
      </w:r>
      <w:r>
        <w:rPr>
          <w:rFonts w:ascii="Calibri" w:hAnsi="Calibri"/>
          <w:b w:val="0"/>
          <w:color w:val="3A4A28"/>
          <w:sz w:val="20"/>
        </w:rPr>
        <w:t>Autonomous rendezvous and proximity operations (RPO) capabilities could differentiate Momentus for high-value in-orbit servicing and space domain awareness missions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Company has achieved only one successful commercial mission (Vigoride-7) — any technical failure on subsequent missions would devastate credibility and likely trigger another capital crisis</w:t>
      </w:r>
    </w:p>
    <w:p>
      <w:pPr>
        <w:spacing w:before="40" w:after="40"/>
        <w:ind w:left="283"/>
      </w:pPr>
      <w:r>
        <w:rPr>
          <w:rFonts w:ascii="Calibri" w:hAnsi="Calibri"/>
          <w:b/>
          <w:color w:val="4A6B25"/>
          <w:sz w:val="20"/>
        </w:rPr>
        <w:t xml:space="preserve">2. </w:t>
      </w:r>
      <w:r>
        <w:rPr>
          <w:rFonts w:ascii="Calibri" w:hAnsi="Calibri"/>
          <w:b w:val="0"/>
          <w:color w:val="3A4A28"/>
          <w:sz w:val="20"/>
        </w:rPr>
        <w:t>Net loss of $9.48M in Q1 2026 despite revenue growth means continued cash burn; the ~$76M pro forma liquidity provides roughly two years of runway at current burn rates, creating dilution risk</w:t>
      </w:r>
    </w:p>
    <w:p>
      <w:pPr>
        <w:spacing w:before="40" w:after="40"/>
        <w:ind w:left="283"/>
      </w:pPr>
      <w:r>
        <w:rPr>
          <w:rFonts w:ascii="Calibri" w:hAnsi="Calibri"/>
          <w:b/>
          <w:color w:val="4A6B25"/>
          <w:sz w:val="20"/>
        </w:rPr>
        <w:t xml:space="preserve">3. </w:t>
      </w:r>
      <w:r>
        <w:rPr>
          <w:rFonts w:ascii="Calibri" w:hAnsi="Calibri"/>
          <w:b w:val="0"/>
          <w:color w:val="3A4A28"/>
          <w:sz w:val="20"/>
        </w:rPr>
        <w:t>SpaceX Rideshare and Rocket Lab offer lower-cost deployment alternatives for basic satellite delivery, limiting Momentus's addressable market to higher-complexity missions where it has minimal track record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In-space transportation and orbital infrastructure services are physical-world operations that AI structurally cannot displace [2]. Manufacturing and operating spacecraft, performing orbital maneuvers, deploying hosted payloads, and servicing satellites require tangible hardware and propulsion systems that exist entirely outside AI's substitution capability. The space transportation market is constrained by physics, launch costs, and regulatory requirements — not information asymmetries that AI could exploit. Momentus's MET propulsion technology and Vigoride OSV platform represent physical engineering capabilities immune to AI disruption [1]. AI Opportunity (0/1): No AI-related revenue or products. The company's operations are hardware-focused with no meaningful AI deployment or AI-enabled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Momentus Inc. Q1 2026 Financial Results and Shareholder Letter — 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Momentus Inc. Corporate Website — momentus.space,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Momentus CEO John Rood Speaking Engagements and MDA SHIELD Selection — SmallSat Symposium and Space Symposium, 2026</w:t>
      </w:r>
    </w:p>
    <w:p>
      <w:pPr>
        <w:spacing w:before="20" w:after="20"/>
        <w:ind w:left="170"/>
      </w:pPr>
      <w:r>
        <w:rPr>
          <w:rFonts w:ascii="Calibri" w:hAnsi="Calibri"/>
          <w:b/>
          <w:color w:val="4A6B25"/>
          <w:sz w:val="15"/>
        </w:rPr>
        <w:t xml:space="preserve">4. </w:t>
      </w:r>
      <w:r>
        <w:rPr>
          <w:rFonts w:ascii="Calibri" w:hAnsi="Calibri"/>
          <w:b w:val="0"/>
          <w:color w:val="3A4A28"/>
          <w:sz w:val="17"/>
        </w:rPr>
        <w:t>Momentus Financial History and Controversies — CNBC, Seeking Alpha, StocksToTrade,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