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MPC</w:t>
      </w:r>
      <w:r>
        <w:rPr>
          <w:rFonts w:ascii="Calibri" w:hAnsi="Calibri"/>
          <w:b/>
          <w:color w:val="1A2010"/>
          <w:sz w:val="40"/>
        </w:rPr>
        <w:t xml:space="preserve">  Marathon Petroleum Corporation</w:t>
      </w:r>
    </w:p>
    <w:p>
      <w:pPr>
        <w:spacing w:after="120"/>
      </w:pPr>
      <w:r>
        <w:rPr>
          <w:rFonts w:ascii="Calibri" w:hAnsi="Calibri"/>
          <w:b/>
          <w:color w:val="6E8450"/>
          <w:sz w:val="18"/>
        </w:rPr>
        <w:t>GROWTH SLEEVE · 2026-07-13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Refining &amp; Marketing · NYSE · United States</w:t>
      </w:r>
    </w:p>
    <w:p>
      <w:pPr>
        <w:spacing w:after="80"/>
      </w:pPr>
      <w:r>
        <w:rPr>
          <w:rFonts w:ascii="Calibri" w:hAnsi="Calibri"/>
          <w:b w:val="0"/>
          <w:color w:val="3A4A28"/>
          <w:sz w:val="20"/>
        </w:rPr>
        <w:t>Marathon Petroleum Corporation is the largest petroleum refiner in the United States, operating 13 refineries with approximately 3 million barrels per day of crude oil throughput capacity. The company also operates the Marathon and ARCO retail fuel brands, owns a controlling interest in MPLX LP (a diversified midstream partnership), and has a renewable diesel joint venture with Neste. Headquartered in Findlay, Ohio, MPC was spun off from Marathon Oil in 2011.</w:t>
      </w:r>
    </w:p>
    <w:p>
      <w:r>
        <w:rPr>
          <w:rFonts w:ascii="Calibri" w:hAnsi="Calibri"/>
          <w:b/>
          <w:color w:val="6E8450"/>
          <w:sz w:val="18"/>
        </w:rPr>
        <w:t>17,600 Employees · https://www.marathonpetroleum.com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net income of $511M ($1.73/share) dramatically beat Q1 2025's loss, with revenues rising to $34.6B from $31.9B YoY on refining margin recovery — adjusted EBITDA of $5.37/barrel vs $1.91/barrel prior year [1]. Full-year 2025 adjusted EBITDA of $12.0B (vs $11.3B in 2024) with net income up 18% demonstrated cycle management discipline [2]. The 2018 Andeavor acquisition ($21B) transformed MPC into the largest US refiner. AI Deployment (1/2): MPC uses AI for predictive maintenance, yield optimization, and environmental monitoring across refineries, though specific AI capex and quantified savings are not publicly disclosed [4]. Market Share (2/2): Largest US refiner at ~3.0 mb/d throughput capacity with Q2 2026 guided utilization of 94% — structural market position that is extremely difficult to replicate [1]. Product Pipeline (1/2): Renewable diesel JV with Neste, growing MPLX midstream dividend, and continued refinery optimization provide incremental growth; long-term refined products demand remains but faces secular EV pressure. R&amp;D Intensity (0/1): Refining R&amp;D is minimal — innovation is primarily operational and commercial.</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MPC's purpose of 'providing the energy that powers progress and community prosperity' is standard energy-industry framing — credible and identifies what the company does, but interchangeable with any major energy company and does not articulate a deeper purpose [3]. Community Impact (1/2): Committed to net-zero GHG by 2050 with sustainability reporting, but carries environmental-justice concerns including the 2023 Garyville chemical leak (fires visible from space), prior Clean Air Act settlements requiring emissions controls at 14 storage tanks, and elevated community health concerns near the Michigan refinery [3]. Employee Retention (1/2): CEO Maryann Mannen was promoted internally from CFO (2021) to President (January 2024) to CEO (August 2024), demonstrating a trust-the-pipeline development culture [4]. However, Glassdoor reviews (4.0/5 on 1,554 reviews) note that 'since the new CEO took over the company culture has changed for the worst' with some employees citing diminished employee focus [4]. Insider Buying (0/2): No notable insider buying; Mannen's $19M compensation is heavily performance-weighted (92.6% bonus/equity) but no personal open-market purchases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Growth sleeve. Q1 2026 delivered strong results with $34.6B revenue and refining margins of $5.37/barrel adjusted EBITDA (vs $1.91/barrel in Q1 2025), maintaining 99% margin capture and 89% utilization [1]. Full-year 2025 generated $12.0B adjusted EBITDA with 94% utilization and 105% margin capture [2]. Forward P/E of 14.55 and PEG of 0.87 are attractive for a refiner at cycle midpoint. D/E of 205% is elevated (2.05x), scoring below target but above floor. ROE of 27.62% and revenue growth 5yr CAGR of 14.0% reflect strong cycle execution. The primary infrastructure weakness is the thin profit margin of 3.04%, typical for a high-throughput refining business [5]. MPC returned $30B+ in buybacks since 2021, demonstrating capital return commitment. Liquidity floor easily cleared at $283.74 x 2.47M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MPC plays the refining cycle with financial discipline — optimizing utilization at 94%+, returning $30B+ in buybacks since 2021, and building MPLX midstream for durable fee income. CEO Mannen's internal promotion from CFO signals trust-the-pipeline succession. However, the core business is structurally tied to fossil-fuel refining with secular demand questions, and the purpose framing is commercially rather than transcendently 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'Providing energy that powers progress' is utility-of-production framing — honest but not distinctive or aspirational [3]. The net-zero-by-2050 commitment adds credibility but the core business is structurally in secular decline as transportation electrifies. The purpose does not clearly differentiate MPC from any other energy company or inspire sacrifice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promotion of Mannen from CFO to President to CEO to Chairman demonstrates disciplined succession and a development-oriented culture [4]. However, Glassdoor reviews (4.0/5) reveal cultural tension since the CEO transition, with employees noting 'the entire top-down outlook changed from fantastic care about employees' and concerns about conservative management responses post-COVID [4]. Average for a company of this size.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MPC competes with Valero, Phillips 66, and PBF Energy on refining economics and has consistently ranked top-quartile on relative profitability among US refiners. Management frames competition in terms of operational excellence benchmarking (utilization rates, margin capture, cost per barrel) rather than market share destruction — using rivalry to drive continuous improvement in refining efficiency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renewable diesel JV with Neste and the strategic building of MPLX midstream represent genuine diversification moves that reduce pure refining cyclicality [2]. However, the bulk of MPC's $133B revenue base remains committed to traditional fossil-fuel refining, and the transition to renewables is incremental rather than transformative. MPC has not made a dramatic strategic pivot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MPC has deployed $30B+ in buybacks since 2021, invested in renewable diesel, and built the MPLX spin-off structure to provide durable fee-based income [1][2]. Q2 2026 guidance projects 94% utilization at 2,990 mbpd throughput, maintaining aggressive operational targets. However, these actions are largely expected of a large-cap refiner returning capital and the company has not made costly long-term bets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Marathon Petroleum is the largest US refiner executing at peak operational efficiency in a recovering refining cycle. Q1 2026 delivered net income of $511M ($1.73/share), dramatically beating Q1 2025's loss, with refining margins of $5.37/barrel adjusted EBITDA (up from $1.91/barrel YoY) at 99% margin capture and 89% utilization [1]. Full-year 2025 generated $12.0B adjusted EBITDA at 94% utilization and 105% margin capture, with net income up 18% [2]. At 14.55x forward earnings and PEG of 0.87, MPC is attractively valued for a refiner at cycle midpoint. The $4.00 annual dividend (1.77% yield) with 14 years of consecutive payment and $30B+ in cumulative buybacks since 2021 deliver meaningful shareholder returns [5]. CEO Maryann Mannen (internally promoted through CFO, President, CEO) brings financial discipline and top-quartile relative profitability focus. Q2 2026 guidance projects 2,990 mbpd throughput at 94% utilization [1].</w:t>
      </w:r>
    </w:p>
    <w:p>
      <w:pPr>
        <w:spacing w:after="120"/>
      </w:pPr>
      <w:r>
        <w:rPr>
          <w:rFonts w:ascii="Calibri" w:hAnsi="Calibri"/>
          <w:b w:val="0"/>
          <w:color w:val="3A4A28"/>
          <w:sz w:val="20"/>
        </w:rPr>
        <w:t>The bear case is material and multi-dimensional. Refining is inherently cyclical — the Q1 2026 margin rebound ($5.37/bbl vs $1.91/bbl YoY) is partly mean-reversion from 2025 lows rather than structural improvement, and a margin downcycle could compress EPS sharply [1]. Full-year 2025 revenue declined 4.2% to $133.4B despite higher EBITDA, reflecting commodity price sensitivity [2]. D/E of 205% offers less flexibility if crack spreads compress. Secular transportation electrification creates long-term demand headwinds for gasoline. ESG exposure is significant: the 2023 Garyville chemical leak caused fires visible from space, prior Clean Air Act settlements required emissions controls at 14 storage tanks, and environmental-justice concerns persist around the Michigan refinery with elevated community cancer rates [3]. Profit margin of 3.04% is structurally thin for a high-throughput business. Glassdoor reviews flag cultural deterioration under the new CEO. The Inspire Impact score of -49 deters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margins sustaining at elevated levels ($5.37/barrel Q1 2026 adjusted EBITDA) through tight product markets and geopolitical supply disruptions could push 2026 earnings well above current consensus [1]</w:t>
      </w:r>
    </w:p>
    <w:p>
      <w:pPr>
        <w:spacing w:before="40" w:after="40"/>
        <w:ind w:left="283"/>
      </w:pPr>
      <w:r>
        <w:rPr>
          <w:rFonts w:ascii="Calibri" w:hAnsi="Calibri"/>
          <w:b/>
          <w:color w:val="4A6B25"/>
          <w:sz w:val="20"/>
        </w:rPr>
        <w:t xml:space="preserve">2. </w:t>
      </w:r>
      <w:r>
        <w:rPr>
          <w:rFonts w:ascii="Calibri" w:hAnsi="Calibri"/>
          <w:b w:val="0"/>
          <w:color w:val="3A4A28"/>
          <w:sz w:val="20"/>
        </w:rPr>
        <w:t>Continued capital returns via $4.00 annual dividend (14-year streak) and aggressive share buybacks at 14.55x forward earnings and PEG of 0.87 generate compelling shareholder yield [5]</w:t>
      </w:r>
    </w:p>
    <w:p>
      <w:pPr>
        <w:spacing w:before="40" w:after="40"/>
        <w:ind w:left="283"/>
      </w:pPr>
      <w:r>
        <w:rPr>
          <w:rFonts w:ascii="Calibri" w:hAnsi="Calibri"/>
          <w:b/>
          <w:color w:val="4A6B25"/>
          <w:sz w:val="20"/>
        </w:rPr>
        <w:t xml:space="preserve">3. </w:t>
      </w:r>
      <w:r>
        <w:rPr>
          <w:rFonts w:ascii="Calibri" w:hAnsi="Calibri"/>
          <w:b w:val="0"/>
          <w:color w:val="3A4A28"/>
          <w:sz w:val="20"/>
        </w:rPr>
        <w:t>MPLX midstream fee growth and renewable diesel JV with Neste provide secular diversification that reduces cyclical refining exposure over time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Refining margin cyclicality — the Q1 2026 $5.37/barrel adjusted EBITDA rebound could reverse if crack spreads normalize or global refining supply rebuilds, compressing margins toward 2025's $1.91/barrel trough [1]</w:t>
      </w:r>
    </w:p>
    <w:p>
      <w:pPr>
        <w:spacing w:before="40" w:after="40"/>
        <w:ind w:left="283"/>
      </w:pPr>
      <w:r>
        <w:rPr>
          <w:rFonts w:ascii="Calibri" w:hAnsi="Calibri"/>
          <w:b/>
          <w:color w:val="4A6B25"/>
          <w:sz w:val="20"/>
        </w:rPr>
        <w:t xml:space="preserve">2. </w:t>
      </w:r>
      <w:r>
        <w:rPr>
          <w:rFonts w:ascii="Calibri" w:hAnsi="Calibri"/>
          <w:b w:val="0"/>
          <w:color w:val="3A4A28"/>
          <w:sz w:val="20"/>
        </w:rPr>
        <w:t>ESG and regulatory exposure — Garyville chemical leak (2023), Clean Air Act settlements, environmental-justice concerns at Detroit refinery, and net-zero-by-2050 timeline create reputational and compliance risks [3]</w:t>
      </w:r>
    </w:p>
    <w:p>
      <w:pPr>
        <w:spacing w:before="40" w:after="40"/>
        <w:ind w:left="283"/>
      </w:pPr>
      <w:r>
        <w:rPr>
          <w:rFonts w:ascii="Calibri" w:hAnsi="Calibri"/>
          <w:b/>
          <w:color w:val="4A6B25"/>
          <w:sz w:val="20"/>
        </w:rPr>
        <w:t xml:space="preserve">3. </w:t>
      </w:r>
      <w:r>
        <w:rPr>
          <w:rFonts w:ascii="Calibri" w:hAnsi="Calibri"/>
          <w:b w:val="0"/>
          <w:color w:val="3A4A28"/>
          <w:sz w:val="20"/>
        </w:rPr>
        <w:t>Secular transportation electrification reducing long-term gasoline demand, combined with D/E of 205% limiting financial flexibility during cyclical downturns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MPC's core business — physically refining crude oil into gasoline, diesel, jet fuel, and petrochemicals through massive infrastructure-intensive processes — is structurally immune to AI disruption. No AI system can replace a 3 million barrel-per-day refining network; the business requires physical plants, pipeline networks, storage terminals, and chemical processing that AI cannot replicate or substitute [1][2]. Analysts do not flag AI as a disruption risk for refiners. The only indirect concern is that AI could modestly accelerate transportation electrification over the long term, reducing gasoline demand — but diesel, jet fuel, and petrochemical demand remain robust, and AI data center growth actually increases demand for petroleum-derived products in the supply chain. AI Opportunity (1/1): MPC deploys AI for refinery predictive maintenance, yield optimization across its 13-refinery network, and environmental monitoring, generating incremental operational efficiency improvements at the 94-99% utilization rates already achieved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Marathon Petroleum Q1 2026 Earnings Release — $34.6B revenue, $511M net income, $5.37/barrel refining EBITDA, 99% margin capture, April 2026</w:t>
      </w:r>
    </w:p>
    <w:p>
      <w:pPr>
        <w:spacing w:before="20" w:after="20"/>
        <w:ind w:left="170"/>
      </w:pPr>
      <w:r>
        <w:rPr>
          <w:rFonts w:ascii="Calibri" w:hAnsi="Calibri"/>
          <w:b/>
          <w:color w:val="4A6B25"/>
          <w:sz w:val="15"/>
        </w:rPr>
        <w:t xml:space="preserve">2. </w:t>
      </w:r>
      <w:r>
        <w:rPr>
          <w:rFonts w:ascii="Calibri" w:hAnsi="Calibri"/>
          <w:b w:val="0"/>
          <w:color w:val="3A4A28"/>
          <w:sz w:val="17"/>
        </w:rPr>
        <w:t>Marathon Petroleum Full Year 2025 Results — $133.4B revenue, $12.0B adjusted EBITDA, 94% utilization, 105% margin capture, February 2026</w:t>
      </w:r>
    </w:p>
    <w:p>
      <w:pPr>
        <w:spacing w:before="20" w:after="20"/>
        <w:ind w:left="170"/>
      </w:pPr>
      <w:r>
        <w:rPr>
          <w:rFonts w:ascii="Calibri" w:hAnsi="Calibri"/>
          <w:b/>
          <w:color w:val="4A6B25"/>
          <w:sz w:val="15"/>
        </w:rPr>
        <w:t xml:space="preserve">3. </w:t>
      </w:r>
      <w:r>
        <w:rPr>
          <w:rFonts w:ascii="Calibri" w:hAnsi="Calibri"/>
          <w:b w:val="0"/>
          <w:color w:val="3A4A28"/>
          <w:sz w:val="17"/>
        </w:rPr>
        <w:t>Marathon Petroleum Sustainability Reports and Environmental Coverage — Garyville incident, Clean Air Act settlements, net-zero-by-2050, Climate Action 100+ assessment</w:t>
      </w:r>
    </w:p>
    <w:p>
      <w:pPr>
        <w:spacing w:before="20" w:after="20"/>
        <w:ind w:left="170"/>
      </w:pPr>
      <w:r>
        <w:rPr>
          <w:rFonts w:ascii="Calibri" w:hAnsi="Calibri"/>
          <w:b/>
          <w:color w:val="4A6B25"/>
          <w:sz w:val="15"/>
        </w:rPr>
        <w:t xml:space="preserve">4. </w:t>
      </w:r>
      <w:r>
        <w:rPr>
          <w:rFonts w:ascii="Calibri" w:hAnsi="Calibri"/>
          <w:b w:val="0"/>
          <w:color w:val="3A4A28"/>
          <w:sz w:val="17"/>
        </w:rPr>
        <w:t>Glassdoor — Marathon Petroleum Employee Reviews (1,554 reviews, 4.0/5 rating), CEO Maryann Mannen leadership coverage,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MPC Key Statistics ($283.74, PE 17.11, forward PE 14.55, D/E 205%, ROE 27.62%),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