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MRNA</w:t>
      </w:r>
      <w:r>
        <w:rPr>
          <w:rFonts w:ascii="Calibri" w:hAnsi="Calibri"/>
          <w:b/>
          <w:color w:val="1A2010"/>
          <w:sz w:val="40"/>
        </w:rPr>
        <w:t xml:space="preserve">  Moderna, Inc.</w:t>
      </w:r>
    </w:p>
    <w:p>
      <w:pPr>
        <w:spacing w:after="120"/>
      </w:pPr>
      <w:r>
        <w:rPr>
          <w:rFonts w:ascii="Calibri" w:hAnsi="Calibri"/>
          <w:b/>
          <w:color w:val="6E8450"/>
          <w:sz w:val="18"/>
        </w:rPr>
        <w:t>GROWTH SLEEVE · 2026-08-17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Moderna is a biotechnology company pioneering messenger RNA (mRNA) therapeutics and vaccines. The company has three marketed products — Spikevax (COVID-19), mRESVIA (RSV), and mCOMBRIAX (world's first flu+COVID combination vaccine). The seasonal flu vaccine (mRNA-1010) received unanimous FDA VRBPAC recommendation in July 2026. Moderna is advancing personalized cancer vaccines (intismeran autogene with Merck, 49% reduction in recurrence/death at 5 years in melanoma), with 45+ pipeline candidates, a strategic alliance with OpenAI, and new cancer antigen therapy programs (mRNA-4194 for Lynch syndrome, mRNA-4200 for solid tumors).</w:t>
      </w:r>
    </w:p>
    <w:p>
      <w:r>
        <w:rPr>
          <w:rFonts w:ascii="Calibri" w:hAnsi="Calibri"/>
          <w:b/>
          <w:color w:val="6E8450"/>
          <w:sz w:val="18"/>
        </w:rPr>
        <w:t>4,700 Employees · https://www.modernatx.com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Moderna launched three approved products from a single platform technology — Spikevax (COVID-19), mRESVIA (RSV), and mCOMBRIAX (world's first flu+COVID combination vaccine) [1]. The mRNA platform represents a genuinely transformative technology, enabling rapid sequence design (COVID vaccine designed in 2 days). Five-year melanoma data from intismeran autogene showed 49% reduction in recurrence/death, validating the personalized cancer vaccine approach [2]. The seasonal flu vaccine received unanimous FDA VRBPAC positive recommendation in July 2026, moving toward potential fourth approved product [2]. AI Deployment (2/2): Moderna has a strategic alliance with OpenAI, with 80% of employees using mChat (customized GPT-based chatbot) in daily workflows [3]. The mRNA Design Studio uses ML to predict optimal sequences, AI-powered automation scaled manufacturing from 30 to 1,000+ sequences per month, and the company has begun dosing in two new cancer antigen therapy programs (mRNA-4194, mRNA-4200) accelerated by AI-driven design [3]. Market Share (1/2): Moderna is one of only two companies with approved mRNA vaccines globally, sharing market leadership with BioNTech/Pfizer. mCOMBRIAX is the first-ever combination COVID+flu vaccine, creating a new product category [2]. Product Pipeline (1/2): 45+ development candidates spanning infectious disease, oncology, and rare disease. Three Phase 3 programs for intismeran autogene, flu vaccine approaching PDUFA, and two new cancer antigen therapy programs initiated [2]. R&amp;D Intensity (1/1): R&amp;D is Moderna's primary operating expense, far exceeding revenue, with investments across three global manufacturing sites (Laval, Harwell, Clayton)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Moderna's mission to 'deliver the greatest possible impact to people through mRNA medicines' is specific and thoughtful — it connects platform technology to a vision of transforming medicine across diseases [4]. CEO Stephane Bancel founded the company in 2010 and has led it through the pandemic era to a multi-franchise biotech. The mission was validated by the COVID vaccine saving millions of lives. However, multi-decade consistency through leadership transitions has not been demonstrated. Community Impact (1/2): Moderna's partnerships with the Bill &amp; Melinda Gates Foundation on pandemic preparedness vaccines (Nipah, Zika, Mpox) and BARDA/DARPA collaborations demonstrate genuine community investment [1]. Nearly two out of three employees participate in volunteering or the employee matching program, and the Moderna Charitable Foundation supports public health and scientific education [4]. Employee Retention (0/2): A former Moderna executive publicly wrote that the 'spirit of possibility is no more,' indicating cultural deterioration from the mission-driven pandemic era [4]. The company executed major headcount reductions as part of ~$2B in operating expense cuts, and critics caution that AI overreliance risks eroding institutional knowledge [3]. Insider Buying (1/2): CEO Bancel purchased approximately 160,314 shares for ~$5M at $31.04-$31.53 in March 2025, demonstrating meaningful personal conviction during the stock's low point [3]. Bancel owns approximately 21.3M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of 19% scores 1.0 (well below 70% target). ROE of -39.0% scores 0.0 (below 0% floor, 2x weight). Revenue growth YoY guided at up to 10% for FY2026 (Q2 at 2% YoY, H1 stronger), scoring approximately 0.83 by interpolation. Revenue growth 5yr CAGR of approximately -53% scores 0.0 (below -5% floor, 2x weight). Forward P/E negative (unprofitable), excluded. Profit margin of -143.55% scores 0.0 (below 0% floor). PEG unavailable, excluded. Weighted sum: (1x1.0)+(2x0.0)+(1x0.83)+(2x0.0)+(1x0.0) = 1.83. Max weighted sum: 1+2+1+2+1 = 7 (excl FPE and PEG). Infrastructure score: 1.83/7 x 10 = 2.61, rounds to 3. The company maintains $5.14B cash against $1.29B debt after the $950M litigation settlement in July 2026 [1][5]. Daily dollar volume of ~$440M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Moderna demonstrates genuine infinite-game thinking through its long-term commitment to the mRNA platform across multiple therapeutic areas and its transformative pivot from a COVID-only company to a multi-franchise biotech. The existential flexibility to pivot toward oncology and international markets when the U.S. regulatory environment turned hostile shows willingness to adapt in service of the mission. However, significant cultural deterioration, workforce reductions, and the $950M litigation settlement in July 2026 create organizational stress.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Moderna's cause — using mRNA technology to transform medicine across diseases — represents a genuine vision of a better future [4]. The COVID vaccine validated the platform's potential to change millions of lives in months. Expansion into personalized cancer vaccines (49% melanoma recurrence reduction at 5 years), rare diseases, and pandemic preparedness extends this cause beyond any single product. CEO Bancel's vision of mRNA as a 'software of life' is compelling and distinctive. However, the company was founded only in 2010 and has not demonstrated multi-decade consistency through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former executive publicly stated the 'spirit of possibility is no more,' indicating significant cultural deterioration from the pandemic era [4]. Major headcount reductions as part of ~$2B OpEx cuts created organizational instability. Critics flag that AI overreliance (80% mChat adoption) risks eroding institutional knowledge [3]. The restructuring to treat AI as 'collaborator not tool' represents ambitious organizational change but currently generates uncertainty rather than trust among the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Moderna uses competitive dynamics constructively. The FDA's initial acceptance of BioNTech's flu vaccine while refusing Moderna's similar application pushed Moderna to pursue international approvals and diversify its regulatory strategy [2]. Management frames competition as motivation to expand the mRNA platform into oncology and rare diseases. The Merck partnership on intismeran demonstrates willingness to collaborate rather than compete in adjacent therapeutic areas.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Moderna fundamentally reinvented itself from a COVID-19 vaccine company into a multi-franchise biotech — launching mRESVIA (RSV), mCOMBRIAX (first flu+COVID combo), securing unanimous FDA VRBPAC recommendation for its flu vaccine, and advancing personalized cancer vaccines through Phase 3 [2]. The strategic shift to prioritize international markets and oncology over U.S. vaccines in response to hostile HHS leadership demonstrates willingness to abandon the most profitable market geography. Three new global manufacturing sites enable this geographic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Bancel personally purchased $5M in shares at $31 during the stock's low point, putting his own money at stake [3]. Moderna publicly challenged the FDA's initial flu vaccine refusal, calling it 'inconsistent.' The decision to reduce U.S. investment and redirect resources internationally required strategic courage. The $950M litigation settlement in July 2026 demonstrates willingness to resolve legacy issues [5]. However, cost-cutting and cultural deterioration suggest reactive survival rather than proactive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Moderna at a ~$25B market cap with $5.1B+ in cash means the market values the entire mRNA platform and 45+ pipeline candidates at roughly $20B — a potentially compelling entry point as the company transitions from COVID dependence to a multi-franchise biotech [1]. The seasonal flu vaccine received unanimous FDA VRBPAC positive recommendation in July 2026, potentially becoming Moderna's fourth approved product [2]. Five-year melanoma data showing intismeran autogene reduced recurrence/death by 49% validates the personalized cancer vaccine platform, with three Phase 3 programs underway targeting a $10B+ peak revenue opportunity with Merck [2]. New cancer antigen programs (mRNA-4194 for Lynch syndrome, mRNA-4200 for solid tumors) expand the oncology pipeline. Q2 2026 revenue of $145M beat guidance with 10% cash cost reduction, demonstrating improving operational discipline [1]. Stock up 98% YTD from depressed levels signals recovering sentiment.</w:t>
      </w:r>
    </w:p>
    <w:p>
      <w:pPr>
        <w:spacing w:after="120"/>
      </w:pPr>
      <w:r>
        <w:rPr>
          <w:rFonts w:ascii="Calibri" w:hAnsi="Calibri"/>
          <w:b w:val="0"/>
          <w:color w:val="3A4A28"/>
          <w:sz w:val="20"/>
        </w:rPr>
        <w:t>The bear case remains severe. Moderna posted a $782M net loss in Q2 2026 on just $145M revenue, with cash declining from $6.9B to an estimated $4.7-5.2B year-end after the $950M litigation settlement in July 2026 [1][5]. The 5-year revenue CAGR of -53% captures the dramatic post-pandemic decline from $18.9B peak to current run-rate of ~$600M annually. Path to cash breakeven by 2028 requires flawless execution on multiple pipeline programs simultaneously while the U.S. regulatory environment remains challenging — mRNA research funding was canceled and states have introduced mRNA vaccine bans. mRESVIA sales have been described as 'underwhelming,' and norovirus trial enrollment is slow [5]. Cash burn of ~$3B annually means the ~$5B reserve provides only 1.5-2 years of runway before dilutive financing. Former executive commentary about cultural deterioration signals human capital risk [4]. The Inspire Impact Score of -75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Seasonal flu vaccine (mRNA-1010) approaching potential FDA approval after unanimous VRBPAC positive recommendation in July 2026, which would make it Moderna's fourth approved product and expand the seasonal vaccine franchise [2]</w:t>
      </w:r>
    </w:p>
    <w:p>
      <w:pPr>
        <w:spacing w:before="40" w:after="40"/>
        <w:ind w:left="283"/>
      </w:pPr>
      <w:r>
        <w:rPr>
          <w:rFonts w:ascii="Calibri" w:hAnsi="Calibri"/>
          <w:b/>
          <w:color w:val="4A6B25"/>
          <w:sz w:val="20"/>
        </w:rPr>
        <w:t xml:space="preserve">2. </w:t>
      </w:r>
      <w:r>
        <w:rPr>
          <w:rFonts w:ascii="Calibri" w:hAnsi="Calibri"/>
          <w:b w:val="0"/>
          <w:color w:val="3A4A28"/>
          <w:sz w:val="20"/>
        </w:rPr>
        <w:t>Intismeran autogene Phase 3 data readouts across melanoma, non-small cell lung cancer, and other solid tumors — five-year Phase 2b data showing 49% recurrence/death reduction validates the personalized cancer vaccine mechanism [2]</w:t>
      </w:r>
    </w:p>
    <w:p>
      <w:pPr>
        <w:spacing w:before="40" w:after="40"/>
        <w:ind w:left="283"/>
      </w:pPr>
      <w:r>
        <w:rPr>
          <w:rFonts w:ascii="Calibri" w:hAnsi="Calibri"/>
          <w:b/>
          <w:color w:val="4A6B25"/>
          <w:sz w:val="20"/>
        </w:rPr>
        <w:t xml:space="preserve">3. </w:t>
      </w:r>
      <w:r>
        <w:rPr>
          <w:rFonts w:ascii="Calibri" w:hAnsi="Calibri"/>
          <w:b w:val="0"/>
          <w:color w:val="3A4A28"/>
          <w:sz w:val="20"/>
        </w:rPr>
        <w:t>Operating expense improvements and cash cost reductions (10% YoY in Q2 2026) on path to cash breakeven by 2028, with potential revenue acceleration from new product launches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1.5-2 years at current burn rate (~$3B/year against ~$5B estimated year-end cash after $950M litigation settlement) — without meaningful revenue acceleration, dilutive equity financing becomes necessary before 2028 breakeven target [1][5]</w:t>
      </w:r>
    </w:p>
    <w:p>
      <w:pPr>
        <w:spacing w:before="40" w:after="40"/>
        <w:ind w:left="283"/>
      </w:pPr>
      <w:r>
        <w:rPr>
          <w:rFonts w:ascii="Calibri" w:hAnsi="Calibri"/>
          <w:b/>
          <w:color w:val="4A6B25"/>
          <w:sz w:val="20"/>
        </w:rPr>
        <w:t xml:space="preserve">2. </w:t>
      </w:r>
      <w:r>
        <w:rPr>
          <w:rFonts w:ascii="Calibri" w:hAnsi="Calibri"/>
          <w:b w:val="0"/>
          <w:color w:val="3A4A28"/>
          <w:sz w:val="20"/>
        </w:rPr>
        <w:t>U.S. regulatory environment under hostile HHS leadership — mRNA research funding cuts, state-level mRNA bans, and FDA political interference could permanently impair the largest pharmaceutical market opportunity</w:t>
      </w:r>
    </w:p>
    <w:p>
      <w:pPr>
        <w:spacing w:before="40" w:after="40"/>
        <w:ind w:left="283"/>
      </w:pPr>
      <w:r>
        <w:rPr>
          <w:rFonts w:ascii="Calibri" w:hAnsi="Calibri"/>
          <w:b/>
          <w:color w:val="4A6B25"/>
          <w:sz w:val="20"/>
        </w:rPr>
        <w:t xml:space="preserve">3. </w:t>
      </w:r>
      <w:r>
        <w:rPr>
          <w:rFonts w:ascii="Calibri" w:hAnsi="Calibri"/>
          <w:b w:val="0"/>
          <w:color w:val="3A4A28"/>
          <w:sz w:val="20"/>
        </w:rPr>
        <w:t>Pipeline concentration risk — the investment thesis depends on multiple late-stage programs succeeding simultaneously (cancer vaccine, flu vaccine, combination vaccines) while mRESVIA sales disappoint and norovirus enrollment lags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Moderna's core business — developing, manufacturing, and distributing mRNA-based vaccines and therapeutics — is deeply protected from AI disruption by multiple structural moats [1]. Drug development requires physical wet-lab research, multi-year clinical trials, FDA regulatory approval (average 10+ years and $2B+ per drug), and complex lipid nanoparticle manufacturing — none of which AI can substitute. AI is a significant enabler: the mRNA Design Studio uses ML to optimize sequences, 80% of employees use the OpenAI-powered mChat chatbot, and AI-powered manufacturing scaled capacity 30x [3]. However, AI-driven drug discovery companies could accelerate competitors' mRNA platform development over time. AI Opportunity (1/1): Moderna generates commercially meaningful value from AI through its OpenAI strategic alliance, mRNA Design Studio ML infrastructure, and AI-accelerated drug development — the 2-day COVID vaccine sequence design represents one of the most impactful AI applications in healthcare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Moderna Q2 2026 Earnings — Revenue $145M (+2% YoY, beat guidance), Net Loss $782M, Cash $6.9B pre-settlement, 10% Cash Cost Reduction, July 2026</w:t>
      </w:r>
    </w:p>
    <w:p>
      <w:pPr>
        <w:spacing w:before="20" w:after="20"/>
        <w:ind w:left="170"/>
      </w:pPr>
      <w:r>
        <w:rPr>
          <w:rFonts w:ascii="Calibri" w:hAnsi="Calibri"/>
          <w:b/>
          <w:color w:val="4A6B25"/>
          <w:sz w:val="15"/>
        </w:rPr>
        <w:t xml:space="preserve">2. </w:t>
      </w:r>
      <w:r>
        <w:rPr>
          <w:rFonts w:ascii="Calibri" w:hAnsi="Calibri"/>
          <w:b w:val="0"/>
          <w:color w:val="3A4A28"/>
          <w:sz w:val="17"/>
        </w:rPr>
        <w:t>Moderna Pipeline Updates — Flu Vaccine Unanimous VRBPAC Recommendation, 5-Year Melanoma Data (49% Reduction), mRNA-4194/4200 Cancer Programs, ASCO 2026</w:t>
      </w:r>
    </w:p>
    <w:p>
      <w:pPr>
        <w:spacing w:before="20" w:after="20"/>
        <w:ind w:left="170"/>
      </w:pPr>
      <w:r>
        <w:rPr>
          <w:rFonts w:ascii="Calibri" w:hAnsi="Calibri"/>
          <w:b/>
          <w:color w:val="4A6B25"/>
          <w:sz w:val="15"/>
        </w:rPr>
        <w:t xml:space="preserve">3. </w:t>
      </w:r>
      <w:r>
        <w:rPr>
          <w:rFonts w:ascii="Calibri" w:hAnsi="Calibri"/>
          <w:b w:val="0"/>
          <w:color w:val="3A4A28"/>
          <w:sz w:val="17"/>
        </w:rPr>
        <w:t>Moderna AI Strategy — OpenAI Alliance, 80% Employee mChat Adoption, mRNA Design Studio ML, CEO Bancel $5M Share Purchase March 2025</w:t>
      </w:r>
    </w:p>
    <w:p>
      <w:pPr>
        <w:spacing w:before="20" w:after="20"/>
        <w:ind w:left="170"/>
      </w:pPr>
      <w:r>
        <w:rPr>
          <w:rFonts w:ascii="Calibri" w:hAnsi="Calibri"/>
          <w:b/>
          <w:color w:val="4A6B25"/>
          <w:sz w:val="15"/>
        </w:rPr>
        <w:t xml:space="preserve">4. </w:t>
      </w:r>
      <w:r>
        <w:rPr>
          <w:rFonts w:ascii="Calibri" w:hAnsi="Calibri"/>
          <w:b w:val="0"/>
          <w:color w:val="3A4A28"/>
          <w:sz w:val="17"/>
        </w:rPr>
        <w:t>Moderna Culture and Leadership — CEO Bancel, Former Executive 'Spirit of Possibility' Commentary, Workforce Reductions, ESG Investor Event</w:t>
      </w:r>
    </w:p>
    <w:p>
      <w:pPr>
        <w:spacing w:before="20" w:after="20"/>
        <w:ind w:left="170"/>
      </w:pPr>
      <w:r>
        <w:rPr>
          <w:rFonts w:ascii="Calibri" w:hAnsi="Calibri"/>
          <w:b/>
          <w:color w:val="4A6B25"/>
          <w:sz w:val="15"/>
        </w:rPr>
        <w:t xml:space="preserve">5. </w:t>
      </w:r>
      <w:r>
        <w:rPr>
          <w:rFonts w:ascii="Calibri" w:hAnsi="Calibri"/>
          <w:b w:val="0"/>
          <w:color w:val="3A4A28"/>
          <w:sz w:val="17"/>
        </w:rPr>
        <w:t>Moderna Balance Sheet — $950M Litigation Settlement July 2026, Year-End Cash Target $4.7-5.2B, Benzinga/SEC Filings,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