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MRSH</w:t>
      </w:r>
      <w:r>
        <w:rPr>
          <w:rFonts w:ascii="Calibri" w:hAnsi="Calibri"/>
          <w:b/>
          <w:color w:val="1A2010"/>
          <w:sz w:val="40"/>
        </w:rPr>
        <w:t xml:space="preserve">  Marsh &amp; McLennan Companies, Inc.</w:t>
      </w:r>
    </w:p>
    <w:p>
      <w:pPr>
        <w:spacing w:after="120"/>
      </w:pPr>
      <w:r>
        <w:rPr>
          <w:rFonts w:ascii="Calibri" w:hAnsi="Calibri"/>
          <w:b/>
          <w:color w:val="6E8450"/>
          <w:sz w:val="18"/>
        </w:rPr>
        <w:t>DIVIDEND SLEEVE · 2026-07-10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Insurance Brokers · NYSE · United States</w:t>
      </w:r>
    </w:p>
    <w:p>
      <w:pPr>
        <w:spacing w:after="80"/>
      </w:pPr>
      <w:r>
        <w:rPr>
          <w:rFonts w:ascii="Calibri" w:hAnsi="Calibri"/>
          <w:b w:val="0"/>
          <w:color w:val="3A4A28"/>
          <w:sz w:val="20"/>
        </w:rPr>
        <w:t>Marsh &amp; McLennan Companies, Inc. is the world's largest insurance broker and risk advisor, operating through four business segments: Marsh (insurance brokerage and risk management), Guy Carpenter (reinsurance brokerage), Mercer (workforce and investment consulting), and Oliver Wyman (management consulting). The company serves clients in over 130 countries with approximately 85,000 employees. Ticker changed from MMC to MRSH on NYSE in January 2026. Founded in 1905, headquartered in New York City.</w:t>
      </w:r>
    </w:p>
    <w:p>
      <w:r>
        <w:rPr>
          <w:rFonts w:ascii="Calibri" w:hAnsi="Calibri"/>
          <w:b/>
          <w:color w:val="6E8450"/>
          <w:sz w:val="18"/>
        </w:rPr>
        <w:t>85,000 Employees · https://www.marshmclennan.com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Marsh McLennan completed 20 acquisitions adding $255M of revenue in 2025 and launched the 'Thrive' restructuring program targeting $400M in annualized savings [1]. These are meaningful operational achievements but represent incremental growth through acquisition rather than transformative innovation or business model reinvention. AI Deployment (0/2): Employee reviews consistently note the company has not invested in technology commensurate with its size, and no AI-powered products or quantified AI savings have been reported [3]. Market Share (2/2): World's largest insurance broker and risk advisor with dominant market position across insurance brokerage (Marsh), reinsurance (Guy Carpenter), workforce consulting (Mercer), and management consulting (Oliver Wyman), serving clients in 130+ countries [1]. Product Pipeline (1/2): 'Thrive' program provides near-term operational visibility, and the company's active acquisition pipeline adds growth optionality, but no specific next-generation products or services have been announced with timelines [1]. R&amp;D Intensity (0/1): Professional services firm with no meaningful R&amp;D spend; innovation comes through advisory capability development rather than formal research and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Marsh McLennan's stated purpose focuses on 'making a difference in the moments that matter' and 'empowering sustainable futures,' which is clear but not distinctive — interchangeable with many large professional services firms [2]. The mission identifies the company's advisory role but lacks a transformative vision of a better future. Community Impact (1/2): The company's ESG reports detail Science Based Targets initiative commitments, scope 3 emissions reduction goals of 97%, and environmental sustainability programs integrated since 2008 [2]. General corporate philanthropy is evident but no distinctive, large-scale community investment programs were identified. Employee Retention (1/2): Glassdoor rating of 3.9/5 with 76% of employees recommending the company; reviews highlight open culture and approachable executives [3]. CEO John Q. Doyle leads a seasoned management team with 5.1 years average tenure. Adequate for the industry but no standout retention data. Insider Buying (0/2): No evidence of meaningful net insider buying by executives in the last 12 months identified in search results.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Full year 2025 revenue of $27.0B grew 10.3% with the 18th consecutive year of margin expansion [1]. ROE of 29.35% reflects exceptional capital efficiency for a professional services firm. Forward P/E of 17.84 is well below the 20 target, providing valuation discipline [5]. Dividend profile is outstanding: 17 consecutive years of growth with a 14.12% 5-year dividend growth CAGR and a just-announced 10% dividend increase to $0.99 quarterly [5]. The primary drag is D/E of 140%, elevated due to acquisition-funded leverage, and profit margin of 15.4% which is respectable for professional services but below the 20% target. Payout ratio of ~49% is reasonable but above the 40% ideal. Revenue 5-year CAGR of ~8.3% falls slightly short of the 10% target.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Marsh McLennan operates as a steady, well-managed professional services conglomerate that has grown through consistent execution and disciplined acquisitions over 121 years. The company demonstrates mixed infinite game characteristics — strong operational consistency and margin expansion but limited evidence of a deeply held Just Cause beyond corporate excellence. The 'Thrive' program and acquisition strategy reflect operational optimization rather than purpose-driven transformation.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Marsh McLennan's purpose of 'making a difference in the moments that matter' is a corporate tagline rather than a Just Cause that Sinek would recognize [2]. The company's 121-year history demonstrates remarkable endurance, but the strategic narrative centers on operational excellence, margin expansion, and shareholder returns rather than an idealistic vision of a better future [1]. Leadership discussions focus on revenue growth, adjusted EPS, and capital allocation — finite metrics — rather than a compelling purpose that inspires sacrifice.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3.9/5 and 76% recommendation rate indicate an adequate work environment [3]. Employees cite open culture and approachable executives as positives. The management team is seasoned with 5.1 years average tenure under CEO John Q. Doyle. However, reviews also note the company is 'slower to changes' and 'not the most innovative in their tech,' suggesting organizational inertia rather than high trust [3]. No evidence of exceptional psychological safety or employee empowerment beyond industry norms.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Marsh McLennan operates in a competitive professional services landscape against Aon, Willis Towers Watson, and specialized consultancies [1]. The company's competitive language focuses on serving clients across risk, strategy, and people rather than defeating specific competitors. The four-segment diversification strategy reflects an approach of building distinctive capabilities rather than directly attacking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Marsh McLennan has evolved over 121 years from a pure insurance brokerage into a diversified professional services firm through the addition of Mercer (workforce and investment consulting) and Oliver Wyman (management consulting) [1]. The 'Thrive' program represents ongoing organizational adaptation. These changes are significant but incremental — the company has never faced a transformative 'bet the company' pivot. Evolution through acquisition is adaptive but not existentially flexible in Sinek's sense.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'Thrive' restructuring program committing to $400M in annualized savings demonstrates willingness to invest in organizational change [1]. The company has maintained discipline in returning $3.7B to shareholders through buybacks and dividends while simultaneously investing $850M in acquisitions. However, with consistent earnings growth and margin expansion for 18 consecutive years, these decisions carry relatively low risk — true courage would be tested during a downturn, which this company has not recently faced.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Marsh McLennan is a world-class compounder operating as the global leader in insurance brokerage and risk advisory. Full year 2025 revenue of $27.0B grew 10.3% with 4% underlying growth, achieving the 18th consecutive year of reported margin expansion [1]. The dividend profile is exceptional: 17 consecutive years of growth with a 14.12% 5-year CAGR and a just-announced 10% increase to $3.96 annually [5]. At 17.84x forward earnings, the stock trades at a reasonable premium for a capital-light business generating 29.35% ROE with ~$2B annual share repurchases [1]. The 'Thrive' program should drive $400M in annualized savings while the 20-acquisition-per-year pace adds organic growth optionality.</w:t>
      </w:r>
    </w:p>
    <w:p>
      <w:pPr>
        <w:spacing w:after="120"/>
      </w:pPr>
      <w:r>
        <w:rPr>
          <w:rFonts w:ascii="Calibri" w:hAnsi="Calibri"/>
          <w:b w:val="0"/>
          <w:color w:val="3A4A28"/>
          <w:sz w:val="20"/>
        </w:rPr>
        <w:t>The primary concern is that Marsh McLennan's IOWN score is constrained by limited innovation (scored 4/10) — this is fundamentally an insurance brokerage, not a technology company, and the framework penalizes lack of innovation and AI deployment. Employee reviews note underinvestment in technology relative to the company's size [3]. At $86.5B market cap, growth sustainability depends on continued acquisition execution and pricing power in a competitive insurance market. The 140% D/E ratio, while manageable for a capital-light services firm, reflects acquisition-funded leverage that could constrain flexibility in a downturn. PEG ratio of 2.68 suggests the market prices in continuation of double-digit earnings growth that may prove difficult to sustain as the company scales beyond $27B in revenue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Thrive restructuring program generating $400M in annualized savings could accelerate adjusted margin expansion beyond the 18-year streak already achieved</w:t>
      </w:r>
    </w:p>
    <w:p>
      <w:pPr>
        <w:spacing w:before="40" w:after="40"/>
        <w:ind w:left="283"/>
      </w:pPr>
      <w:r>
        <w:rPr>
          <w:rFonts w:ascii="Calibri" w:hAnsi="Calibri"/>
          <w:b/>
          <w:color w:val="4A6B25"/>
          <w:sz w:val="20"/>
        </w:rPr>
        <w:t xml:space="preserve">2. </w:t>
      </w:r>
      <w:r>
        <w:rPr>
          <w:rFonts w:ascii="Calibri" w:hAnsi="Calibri"/>
          <w:b w:val="0"/>
          <w:color w:val="3A4A28"/>
          <w:sz w:val="20"/>
        </w:rPr>
        <w:t>Data center and climate risk creating secular demand growth for Marsh's specialty insurance brokerage and risk advisory capabilities across commercial property and casualty markets</w:t>
      </w:r>
    </w:p>
    <w:p>
      <w:pPr>
        <w:spacing w:before="40" w:after="40"/>
        <w:ind w:left="283"/>
      </w:pPr>
      <w:r>
        <w:rPr>
          <w:rFonts w:ascii="Calibri" w:hAnsi="Calibri"/>
          <w:b/>
          <w:color w:val="4A6B25"/>
          <w:sz w:val="20"/>
        </w:rPr>
        <w:t xml:space="preserve">3. </w:t>
      </w:r>
      <w:r>
        <w:rPr>
          <w:rFonts w:ascii="Calibri" w:hAnsi="Calibri"/>
          <w:b w:val="0"/>
          <w:color w:val="3A4A28"/>
          <w:sz w:val="20"/>
        </w:rPr>
        <w:t>Continued M&amp;A execution at 20+ acquisitions per year adding $250M+ in incremental annual revenue while maintaining double-digit adjusted EPS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PEG ratio of 2.68 implies the market expects sustained ~8% earnings growth; any deceleration in underlying revenue growth from the current 4% pace or margin expansion stall could trigger multiple compression from the 22x trailing PE</w:t>
      </w:r>
    </w:p>
    <w:p>
      <w:pPr>
        <w:spacing w:before="40" w:after="40"/>
        <w:ind w:left="283"/>
      </w:pPr>
      <w:r>
        <w:rPr>
          <w:rFonts w:ascii="Calibri" w:hAnsi="Calibri"/>
          <w:b/>
          <w:color w:val="4A6B25"/>
          <w:sz w:val="20"/>
        </w:rPr>
        <w:t xml:space="preserve">2. </w:t>
      </w:r>
      <w:r>
        <w:rPr>
          <w:rFonts w:ascii="Calibri" w:hAnsi="Calibri"/>
          <w:b w:val="0"/>
          <w:color w:val="3A4A28"/>
          <w:sz w:val="20"/>
        </w:rPr>
        <w:t>Technology underinvestment relative to insurtech competitors and AI-enabled advisory tools creates a latent competitive risk as clients increasingly demand digital-first risk management solutions</w:t>
      </w:r>
    </w:p>
    <w:p>
      <w:pPr>
        <w:spacing w:before="40" w:after="40"/>
        <w:ind w:left="283"/>
      </w:pPr>
      <w:r>
        <w:rPr>
          <w:rFonts w:ascii="Calibri" w:hAnsi="Calibri"/>
          <w:b/>
          <w:color w:val="4A6B25"/>
          <w:sz w:val="20"/>
        </w:rPr>
        <w:t xml:space="preserve">3. </w:t>
      </w:r>
      <w:r>
        <w:rPr>
          <w:rFonts w:ascii="Calibri" w:hAnsi="Calibri"/>
          <w:b w:val="0"/>
          <w:color w:val="3A4A28"/>
          <w:sz w:val="20"/>
        </w:rPr>
        <w:t>Elevated D/E of 140% from acquisition-funded leverage limits balance sheet flexibility if a recession or insurance pricing cycle downturn reduces organic growth and acquisition targets become scarce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Marsh McLennan's core insurance brokerage and risk advisory business is protected by deep client relationships, regulatory complexity across 130+ countries, and the advisory judgment required for complex risk placement [1]. Insurance brokerage involves nuanced relationship management, negotiation, and multi-jurisdictional regulatory expertise that AI cannot easily replicate. However, routine policy administration, data analytics, and some underwriting analysis functions face potential AI-driven efficiency pressure from insurtech competitors [3]. Oliver Wyman's management consulting faces moderate AI exposure as AI tools increasingly commoditize research and analysis components of advisory work. AI Opportunity (0/1): No meaningful AI revenue reported. Employee reviews note the company has underinvested in technology relative to its size, and no AI-powered products or services have been launched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Marsh McLennan Q4 2025 and Full Year 2025 Earnings Release — BusinessWire, January 2026</w:t>
      </w:r>
    </w:p>
    <w:p>
      <w:pPr>
        <w:spacing w:before="20" w:after="20"/>
        <w:ind w:left="170"/>
      </w:pPr>
      <w:r>
        <w:rPr>
          <w:rFonts w:ascii="Calibri" w:hAnsi="Calibri"/>
          <w:b/>
          <w:color w:val="4A6B25"/>
          <w:sz w:val="15"/>
        </w:rPr>
        <w:t xml:space="preserve">2. </w:t>
      </w:r>
      <w:r>
        <w:rPr>
          <w:rFonts w:ascii="Calibri" w:hAnsi="Calibri"/>
          <w:b w:val="0"/>
          <w:color w:val="3A4A28"/>
          <w:sz w:val="17"/>
        </w:rPr>
        <w:t>Marsh McLennan ESG Report 'Empowering Sustainable Futures' and Corporate Website,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Marsh McLennan Glassdoor Reviews and Employee Sentiment — Glassdoor,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Marsh McLennan Q1 2026 Earnings — GuruFocus,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and StockAnalysis — MRSH Key Statistics and Dividend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