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MTG</w:t>
      </w:r>
      <w:r>
        <w:rPr>
          <w:rFonts w:ascii="Calibri" w:hAnsi="Calibri"/>
          <w:b/>
          <w:color w:val="1A2010"/>
          <w:sz w:val="40"/>
        </w:rPr>
        <w:t xml:space="preserve">  MGIC Investment Corporation</w:t>
      </w:r>
    </w:p>
    <w:p>
      <w:pPr>
        <w:spacing w:after="120"/>
      </w:pPr>
      <w:r>
        <w:rPr>
          <w:rFonts w:ascii="Calibri" w:hAnsi="Calibri"/>
          <w:b/>
          <w:color w:val="6E8450"/>
          <w:sz w:val="18"/>
        </w:rPr>
        <w:t>DIVIDEND SLEEVE · 2026-07-16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MGIC Investment Corporation, through its subsidiary Mortgage Guaranty Insurance Corporation, provides private mortgage insurance and other mortgage credit risk management solutions in the United States. The company insures mortgage default risk for lenders on residential first mortgages with loan-to-value ratios exceeding 80%, enabling homebuyers to purchase homes with less than 20% down payments.</w:t>
      </w:r>
    </w:p>
    <w:p>
      <w:r>
        <w:rPr>
          <w:rFonts w:ascii="Calibri" w:hAnsi="Calibri"/>
          <w:b/>
          <w:color w:val="6E8450"/>
          <w:sz w:val="18"/>
        </w:rPr>
        <w:t>900 Employees · https://www.mgic.com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 is deploying AI for targeted high-value use cases including document triage, customer-service copilots, delinquency monitoring, and claims support automation [1]. The company reported record new insurance written (NIW) growth in Q1 2026, demonstrating competitive market execution and improved integration with loan origination systems and pricing engines [2]. However, MGIC operates a single-product business with limited R&amp;D intensity typical of specialty insurers, and innovation is focused on process optimization rather than market-expanding products. Market share leadership among top-tier private mortgage insurers alongside Radian and Essent earns partial credit.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Timothy Mattke has led since 2019, promoted internally from CFO, with a stable executive team including COO Sal Miosi (with MGIC since 1988), providing deep institutional continuity through housing cycles [3]. The company's mission centers on enabling homeownership by covering lender credit losses on low-down-payment mortgages, delivering social impact including educational stability and civic engagement for borrowers [4]. Sustainalytics rates MGIC with a 'None' controversy level. Glassdoor reviews describe a collaborative environment with good work-life balance, though some note slow decision-making. No meaningful insider buying signals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 exhibits exceptionally strong financial infrastructure with a debt-to-equity ratio of just 12%, a 59.6% profit margin, and a forward P/E of 8.97 — all well within target ranges [5]. ROE of 14.4% narrowly misses the 15% target but remains competitive, and the company posted a 13% ROE in Q1 2026 [2]. The 17.2% dividend payout ratio leaves ample room for capital returns and reinvestment, and the company has grown dividends for 5 consecutive years with a strong 5-year dividend growth CAGR near 12% [6]. Revenue growth remains tepid at -1.2% YoY as the mortgage market faces rate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MGIC plays a necessary but narrow role in the housing ecosystem with a clear mission around homeownership accessibility. Leadership continuity is strong, and the company survived the 2008 crisis to rebuild completely. However, the single-product focus and lack of strategic diversification constrain the company's infinite game posture.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homeownership for borrowers who cannot afford 20% down payments is a socially meaningful cause connected to housing stability and community development [4]. However, the cause is inherently tied to a regulatory construct (PMI mandate) rather than an aspirational vision, and MGIC's articulation focuses more on lender risk mitigation than borrower empowerment. Industry-standard purpose does not differentiate from Radian or Essent.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Long-tenured leadership team — COO Sal Miosi has been with MGIC since 1988, and the executive suite has been stable under CEO Mattke since 2019 with internal promotions signaling trust [3]. Glassdoor reviews describe warm and collaborative culture with good work-life balance. However, some reviews note the company has shifted to conventional decision-making processes that slow innovation.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 competes with Radian Group, Essent Group, NMI Holdings, and Enact in a well-defined mortgage insurance market. Competition drives pricing discipline and service quality improvements. However, the competitive dynamic focuses on market share and pricing rather than using rival strengths as motivation for transformative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 is a pure-play mortgage insurer with virtually no diversification beyond its core PMI business. The company has not pursued adjacent products like title insurance, home warranty, or mortgage origination technology. This focus delivers efficiency but creates existential concentration risk tied to housing cycles and regulatory changes [4]. The near-death experience of 2008-2012 did not trigger a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MGIC survived the 2007-2012 housing crisis when the company faced potential insolvency, suspended dividends, and rebuilt capital over a decade — a demonstration of resilience under existential pressure [2]. Dividend reinstatement in 2019 and aggressive share buybacks demonstrate confidence. However, the recovery was survival-driven rather than proactive strategic courage, and the company has not taken bold bets to redefine its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MGIC at 8.97x forward earnings with a 59.6% profit margin and 12% D/E ratio offers deep value in a regulated mortgage insurance franchise with structural demand from the conventional mortgage market [2][5]. The 17.2% payout ratio provides massive headroom for dividend growth — the quarterly dividend has grown from $0.10 to $0.15 over three years. Aggressive share buybacks further enhance per-share returns, and the company posted record NIW growth in Q1 2026 despite a challenging rate environment.</w:t>
      </w:r>
    </w:p>
    <w:p>
      <w:pPr>
        <w:spacing w:after="120"/>
      </w:pPr>
      <w:r>
        <w:rPr>
          <w:rFonts w:ascii="Calibri" w:hAnsi="Calibri"/>
          <w:b w:val="0"/>
          <w:color w:val="3A4A28"/>
          <w:sz w:val="20"/>
        </w:rPr>
        <w:t>The bear case centers on cyclical housing risk and business model concentration. Revenue declined 1.2% YoY with the mortgage market facing sustained high rates that suppress origination volumes [6]. MGIC's business is entirely dependent on new mortgage originations, and any prolonged housing downturn would directly impact insurance-in-force and premiums written. The company has no product diversification beyond private mortgage insurance, making it fully exposed to GSE policy changes that could alter the PMI requirement. ROE of 14.4% is adequate but not exceptional, and the innovation profile reflects a company optimizing rather than reinventing its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driving mortgage rates below 6% would significantly boost origination volumes, directly increasing new insurance written and reversing the revenue decline trend</w:t>
      </w:r>
    </w:p>
    <w:p>
      <w:pPr>
        <w:spacing w:before="40" w:after="40"/>
        <w:ind w:left="283"/>
      </w:pPr>
      <w:r>
        <w:rPr>
          <w:rFonts w:ascii="Calibri" w:hAnsi="Calibri"/>
          <w:b/>
          <w:color w:val="4A6B25"/>
          <w:sz w:val="20"/>
        </w:rPr>
        <w:t xml:space="preserve">2. </w:t>
      </w:r>
      <w:r>
        <w:rPr>
          <w:rFonts w:ascii="Calibri" w:hAnsi="Calibri"/>
          <w:b w:val="0"/>
          <w:color w:val="3A4A28"/>
          <w:sz w:val="20"/>
        </w:rPr>
        <w:t>Continued aggressive dividend growth from the 17.2% payout ratio — management has tripled the quarterly dividend from $0.05 to $0.15 since 2022, with substantial room for further increases [6]</w:t>
      </w:r>
    </w:p>
    <w:p>
      <w:pPr>
        <w:spacing w:before="40" w:after="40"/>
        <w:ind w:left="283"/>
      </w:pPr>
      <w:r>
        <w:rPr>
          <w:rFonts w:ascii="Calibri" w:hAnsi="Calibri"/>
          <w:b/>
          <w:color w:val="4A6B25"/>
          <w:sz w:val="20"/>
        </w:rPr>
        <w:t xml:space="preserve">3. </w:t>
      </w:r>
      <w:r>
        <w:rPr>
          <w:rFonts w:ascii="Calibri" w:hAnsi="Calibri"/>
          <w:b w:val="0"/>
          <w:color w:val="3A4A28"/>
          <w:sz w:val="20"/>
        </w:rPr>
        <w:t>AI-driven underwriting efficiency gains improving loss ratios and operating leverage, combined with structural housing supply shortage sustaining MI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high mortgage rates above 6.5% suppressing origination volumes — every 50bp increase in rates reduces purchase applications by an estimated 5-8%, directly impacting new insurance written</w:t>
      </w:r>
    </w:p>
    <w:p>
      <w:pPr>
        <w:spacing w:before="40" w:after="40"/>
        <w:ind w:left="283"/>
      </w:pPr>
      <w:r>
        <w:rPr>
          <w:rFonts w:ascii="Calibri" w:hAnsi="Calibri"/>
          <w:b/>
          <w:color w:val="4A6B25"/>
          <w:sz w:val="20"/>
        </w:rPr>
        <w:t xml:space="preserve">2. </w:t>
      </w:r>
      <w:r>
        <w:rPr>
          <w:rFonts w:ascii="Calibri" w:hAnsi="Calibri"/>
          <w:b w:val="0"/>
          <w:color w:val="3A4A28"/>
          <w:sz w:val="20"/>
        </w:rPr>
        <w:t>GSE reform or policy changes reducing or eliminating the private mortgage insurance requirement for conventional loans, which would be an existential threat to the single-product business model</w:t>
      </w:r>
    </w:p>
    <w:p>
      <w:pPr>
        <w:spacing w:before="40" w:after="40"/>
        <w:ind w:left="283"/>
      </w:pPr>
      <w:r>
        <w:rPr>
          <w:rFonts w:ascii="Calibri" w:hAnsi="Calibri"/>
          <w:b/>
          <w:color w:val="4A6B25"/>
          <w:sz w:val="20"/>
        </w:rPr>
        <w:t xml:space="preserve">3. </w:t>
      </w:r>
      <w:r>
        <w:rPr>
          <w:rFonts w:ascii="Calibri" w:hAnsi="Calibri"/>
          <w:b w:val="0"/>
          <w:color w:val="3A4A28"/>
          <w:sz w:val="20"/>
        </w:rPr>
        <w:t>Rising unemployment or housing price correction increasing loss incidence and severity on the insurance-in-force portfolio, echoing the 2008-2012 crisis that nearly destroyed the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Private mortgage insurance is mandated by regulation for conventional loans with LTV exceeding 80%, creating a structural moat that AI cannot disintermediate [4]. MGIC's core competency in credit risk assessment is enhanced by AI — machine learning improves underwriting accuracy, accelerates processing, and strengthens delinquency prediction [1]. The company is actively deploying AI in document triage and claims support. The primary risk is that GSE-developed AI underwriting engines could eventually pressure traditional MI pricing, but the regulatory PMI mandate and state-approved capital requirements provide durable protection. No AI product revenue generation (0 points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MGIC Investment Corporation Q1 2026 Earnings Release — SEC Form 8-K, March 2026</w:t>
      </w:r>
    </w:p>
    <w:p>
      <w:pPr>
        <w:spacing w:before="20" w:after="20"/>
        <w:ind w:left="170"/>
      </w:pPr>
      <w:r>
        <w:rPr>
          <w:rFonts w:ascii="Calibri" w:hAnsi="Calibri"/>
          <w:b/>
          <w:color w:val="4A6B25"/>
          <w:sz w:val="15"/>
        </w:rPr>
        <w:t xml:space="preserve">2. </w:t>
      </w:r>
      <w:r>
        <w:rPr>
          <w:rFonts w:ascii="Calibri" w:hAnsi="Calibri"/>
          <w:b w:val="0"/>
          <w:color w:val="3A4A28"/>
          <w:sz w:val="17"/>
        </w:rPr>
        <w:t>MGIC Investment Corporation Q4 2025 Earnings Release — SEC Form 8-K, December 2025</w:t>
      </w:r>
    </w:p>
    <w:p>
      <w:pPr>
        <w:spacing w:before="20" w:after="20"/>
        <w:ind w:left="170"/>
      </w:pPr>
      <w:r>
        <w:rPr>
          <w:rFonts w:ascii="Calibri" w:hAnsi="Calibri"/>
          <w:b/>
          <w:color w:val="4A6B25"/>
          <w:sz w:val="15"/>
        </w:rPr>
        <w:t xml:space="preserve">3. </w:t>
      </w:r>
      <w:r>
        <w:rPr>
          <w:rFonts w:ascii="Calibri" w:hAnsi="Calibri"/>
          <w:b w:val="0"/>
          <w:color w:val="3A4A28"/>
          <w:sz w:val="17"/>
        </w:rPr>
        <w:t>MGIC Corporate Governance — Executive Leadership, mtg.mgic.com,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MGIC Investment Corporation 2025 10-K Annual Report</w:t>
      </w:r>
    </w:p>
    <w:p>
      <w:pPr>
        <w:spacing w:before="20" w:after="20"/>
        <w:ind w:left="170"/>
      </w:pPr>
      <w:r>
        <w:rPr>
          <w:rFonts w:ascii="Calibri" w:hAnsi="Calibri"/>
          <w:b/>
          <w:color w:val="4A6B25"/>
          <w:sz w:val="15"/>
        </w:rPr>
        <w:t xml:space="preserve">5. </w:t>
      </w:r>
      <w:r>
        <w:rPr>
          <w:rFonts w:ascii="Calibri" w:hAnsi="Calibri"/>
          <w:b w:val="0"/>
          <w:color w:val="3A4A28"/>
          <w:sz w:val="17"/>
        </w:rPr>
        <w:t>StockAnalysis.com — MTG key statistics and valuation metrics,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Macrotrends — MTG dividend yield and revenue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