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MTSI</w:t>
      </w:r>
      <w:r>
        <w:rPr>
          <w:rFonts w:ascii="Calibri" w:hAnsi="Calibri"/>
          <w:b/>
          <w:color w:val="1A2010"/>
          <w:sz w:val="40"/>
        </w:rPr>
        <w:t xml:space="preserve">  MACOM Technology Solutions Holdings, Inc.</w:t>
      </w:r>
    </w:p>
    <w:p>
      <w:pPr>
        <w:spacing w:after="120"/>
      </w:pPr>
      <w:r>
        <w:rPr>
          <w:rFonts w:ascii="Calibri" w:hAnsi="Calibri"/>
          <w:b/>
          <w:color w:val="6E8450"/>
          <w:sz w:val="18"/>
        </w:rPr>
        <w:t>GROWTH SLEEVE · 2026-08-02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MACOM Technology Solutions designs and manufactures analog semiconductor solutions for wireless and wireline applications across the RF, microwave, millimeter wave, and lightwave spectrum. The company serves data center, industrial and defense, and telecom markets with integrated circuits, multi-chip modules, diodes, amplifiers, switches, and subsystems used in 5G infrastructure, radar, electronic warfare, fiber optics, and AI data center interconnects.</w:t>
      </w:r>
    </w:p>
    <w:p>
      <w:r>
        <w:rPr>
          <w:rFonts w:ascii="Calibri" w:hAnsi="Calibri"/>
          <w:b/>
          <w:color w:val="6E8450"/>
          <w:sz w:val="18"/>
        </w:rPr>
        <w:t>2,000 Employees · https://www.macom.com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MACOM has successfully pivoted toward high-growth AI data center infrastructure, with data center revenue growth guidance raised from 35-40% to over 60% in FY2026 driven by 1.6T optical demand [1]. The IQE compound semiconductor supply agreement and Hot Via chip-scale packaging innovation represent meaningful technology extensions. Q2 FY2026 revenue of $289M set a new record [2]. AI Deployment (1/2): MACOM does not ship AI-powered products but its analog semiconductors — linear driver amplifiers, transimpedance amplifiers, and laser drivers — are critical enabling infrastructure for 800G and 1.6T optical interconnects powering hyperscaler AI clusters [1][3]. Market Share (2/2): MACOM holds a leading position in high-speed analog optical components for data centers and in GaN-on-silicon power amplifiers for defense through the STMicroelectronics partnership, with Industrial and Defense revenue at record levels [2]. Product Pipeline (1/2): The 1.6T optics product family is ramping with clear hyperscaler demand, and Hot Via chip-scale packaging technology could reshape AI networking economics, though specific launch timelines for next-gen products are limited [3]. R&amp;D Intensity (1/1): MACOM invests approximately 18% of revenue in R&amp;D, well above semiconductor industry average, reflecting commitment to next-generation analog and photonic technologies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MACOM's purpose centers on being a leading designer and manufacturer of analog semiconductor solutions that enable the world's telecommunications infrastructure, defense systems, and data networks — clear and functional but not distinctively inspiring, reading as a standard semiconductor company description without deeper articulation of a transformative future state [4]. Community Impact (0/2): No evidence of significant charitable programs, foundation, or distinctive community investment was found beyond standard corporate responsibility commitments, ISO 14001 environmental certification, and a quarterly ESG steering committee [5]. Employee Retention (0/2): No specific employee retention rates, average tenure, or voluntary turnover data is publicly available; approximately 2,000 employees but no evidence of above-average retention or mission-driven employee loyalty [6]. Insider Buying (0/2): Heavy net insider selling — 0 insiders buying and 8 insiders selling over the last 12 months totaling $348M, including major share dispositions by 10%+ owner Susan Ocampo and SVP sales at $383.87 per share in June 2026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FY2026 delivered record $289M revenue (22% YoY growth, 6.4% sequential) with Q3 guided at $331-339M, implying further acceleration [2]. D/E of 29% is well below the 70% target reflecting conservative balance sheet management. ROE of 13.5% is slightly below the 15% target but trending upward with improving profitability. Revenue growth of 23.5% for H1 FY2026 exceeds the 10% target, with estimated 5-year CAGR of approximately 15%. Forward P/E of 58.7 is elevated near the 60 floor, reflecting premium AI infrastructure multiples. Profit margin of 16.5% is developing toward the 20% target with adjusted gross margins expanding above 59% [2]. Forward PEG of 1.96 is above the 1.0 target but below the 3.0 floor. Liquidity floor cleared: 672K avg volume x $267 = $179M daily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MACOM demonstrates mixed infinite game characteristics. CEO Stephen Daly has provided stable leadership since 2019 and is executing a multi-year strategic transformation toward high-growth AI data center markets, with long-term IQE and STMicroelectronics partnerships signaling commitment to enduring capability building. However, the company lacks a deeply articulated Just Cause beyond semiconductor market leadership, and Glassdoor reviews raise concerns about leadership culture that Sinek would flag as finite-game behaviors.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MACOM's purpose centers on enabling critical infrastructure through analog semiconductor innovation, but this is a description of what the company does rather than a Just Cause in Sinek's terms [4]. The company does not articulate a transformative vision of a future state — no compelling narrative about why the world needs MACOM beyond being a supplier of components. The heritage of enabling defense, communications, and AI infrastructure provides functional purpose but not inspirational direction.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Daly has provided stable leadership since 2019, and the executive team has been relatively consistent, providing organizational stability [6]. However, Glassdoor reviews (3.8/5 overall, 215 reviews) reveal some concerns — specific employee reviews mention leadership by fear and intimidation, with one noting the CEO is only focused on engineering and all other employees are necessary but expendable. This mixed evidence suggests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MACOM competes against Broadcom, Marvell, and Analog Devices in data center optics and against diverse players in defense and telecom segments. While the company pursues partnerships (STMicroelectronics, IQE), there is no specific evidence of management acknowledging competitors' strengths as motivation for self-improvement or framing competition in growth-oriented rather than zero-sum terms.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MACOM has demonstrated meaningful strategic evolution — shifting from a primarily RF/microwave defense-focused company to a diversified platform where data center AI is the fastest-growing segment, with 60%+ growth now outpacing legacy defense and telecom [2]. The adoption of new manufacturing technologies (GaN-on-silicon, Hot Via packaging) shows willingness to evolve the technology base. However, these are evolutionary rather than transformative pivots — MACOM has not fundamentally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Daly has made meaningful strategic bets — the IQE compound semiconductor supply agreement and investment, the STMicroelectronics GaN-on-silicon partnership, and sustained 18% R&amp;D intensity during periods of telecom weakness demonstrate willingness to invest for the long term [1]. The pivot toward AI data center markets required reallocating resources away from legacy telecom and toward 800G/1.6T optics. However, these are measured strategic moves rather than dramatic bets that put the company at existential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MACOM Technology Solutions is a direct beneficiary of the AI infrastructure buildout, with Q2 FY2026 delivering record $289M revenue (22% YoY growth) and management raising data center revenue growth guidance from 35-40% to over 60% on 1.6T optical demand [2]. Q3 FY2026 guidance of $331-339M implies significant continued acceleration. The company's analog semiconductors — TIAs, linear drivers, laser drivers — are essential, non-substitutable components of AI data center optical interconnects. The balance sheet is conservatively managed with D/E of 29%, and adjusted gross margins are expanding above 59%. Strategic investments in IQE compound semiconductors and Hot Via chip-scale packaging strengthen the long-term technology position [3].</w:t>
      </w:r>
    </w:p>
    <w:p>
      <w:pPr>
        <w:spacing w:after="120"/>
      </w:pPr>
      <w:r>
        <w:rPr>
          <w:rFonts w:ascii="Calibri" w:hAnsi="Calibri"/>
          <w:b w:val="0"/>
          <w:color w:val="3A4A28"/>
          <w:sz w:val="20"/>
        </w:rPr>
        <w:t>The bear case centers on extreme valuation and execution risk. At ~105x trailing P/E and 58.7x forward P/E with a PEG of 1.96, MACOM is priced for sustained 25%+ growth in a cyclical semiconductor industry — any deceleration in hyperscaler AI spending or competitive share loss to Broadcom/Marvell could trigger severe multiple compression [8]. Massive insider selling totaling $348M over 12 months by major shareholders and executives suggests insiders view current prices as stretched [7]. Profit margins of 16.5% remain below semiconductor peers, and the low Inspiration score reflects no articulated purpose beyond semiconductor product excellence, raising questions about long-term organizational resilience. Geopolitical risks including AI chip export controls and rising Chinese semiconductor competition create additional headwinds for the entire group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revenue growth guidance raised to 60%+ for FY2026, with Q3 guided at $331-339M representing significant AI-driven acceleration from 800G and 1.6T optical demand</w:t>
      </w:r>
    </w:p>
    <w:p>
      <w:pPr>
        <w:spacing w:before="40" w:after="40"/>
        <w:ind w:left="283"/>
      </w:pPr>
      <w:r>
        <w:rPr>
          <w:rFonts w:ascii="Calibri" w:hAnsi="Calibri"/>
          <w:b/>
          <w:color w:val="4A6B25"/>
          <w:sz w:val="20"/>
        </w:rPr>
        <w:t xml:space="preserve">2. </w:t>
      </w:r>
      <w:r>
        <w:rPr>
          <w:rFonts w:ascii="Calibri" w:hAnsi="Calibri"/>
          <w:b w:val="0"/>
          <w:color w:val="3A4A28"/>
          <w:sz w:val="20"/>
        </w:rPr>
        <w:t>Hot Via chip-scale packaging technology could reshape AI networking economics and differentiate MACOM against Broadcom and Marvell in next-generation data center interconnects</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above 59% with operating leverage on accelerating revenue driving path toward 20%+ net profit margins as the business scales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58.7x forward P/E and 1.96 PEG leaves minimal margin of safety — any slowdown in hyperscaler AI capex spending or miss on 60%+ data center growth target could compress the multiple severely</w:t>
      </w:r>
    </w:p>
    <w:p>
      <w:pPr>
        <w:spacing w:before="40" w:after="40"/>
        <w:ind w:left="283"/>
      </w:pPr>
      <w:r>
        <w:rPr>
          <w:rFonts w:ascii="Calibri" w:hAnsi="Calibri"/>
          <w:b/>
          <w:color w:val="4A6B25"/>
          <w:sz w:val="20"/>
        </w:rPr>
        <w:t xml:space="preserve">2. </w:t>
      </w:r>
      <w:r>
        <w:rPr>
          <w:rFonts w:ascii="Calibri" w:hAnsi="Calibri"/>
          <w:b w:val="0"/>
          <w:color w:val="3A4A28"/>
          <w:sz w:val="20"/>
        </w:rPr>
        <w:t>Concentrated insider selling totaling $348M over 12 months by major shareholders and executives signals potential concerns about near-term valuation sustainability</w:t>
      </w:r>
    </w:p>
    <w:p>
      <w:pPr>
        <w:spacing w:before="40" w:after="40"/>
        <w:ind w:left="283"/>
      </w:pPr>
      <w:r>
        <w:rPr>
          <w:rFonts w:ascii="Calibri" w:hAnsi="Calibri"/>
          <w:b/>
          <w:color w:val="4A6B25"/>
          <w:sz w:val="20"/>
        </w:rPr>
        <w:t xml:space="preserve">3. </w:t>
      </w:r>
      <w:r>
        <w:rPr>
          <w:rFonts w:ascii="Calibri" w:hAnsi="Calibri"/>
          <w:b w:val="0"/>
          <w:color w:val="3A4A28"/>
          <w:sz w:val="20"/>
        </w:rPr>
        <w:t>Geopolitical risks including tighter AI chip export controls, rising Chinese semiconductor competition, and supply chain disruption in compound semiconductors (GaN, InP) could pressure the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MACOM is essential AI infrastructure — its analog and mixed-signal semiconductors (TIAs, linear driver amplifiers, laser drivers) are the physical building blocks of 800G and 1.6T optical interconnects that AI data centers require [1][3]. AI cannot substitute the need for physical semiconductor components; it massively increases demand for them. Management raised data center revenue growth guidance from 35-40% to over 60% specifically driven by hyperscaler AI capital investment and 1.6T demand [2]. Defense and industrial applications are further protected by ITAR regulations and decades-long qualification cycles. MACOM fits the textbook definition of AI infrastructure immunity — you cannot be disrupted by the thing you are building [3]. AI Opportunity (1/1): MACOM generates rapidly growing, quantifiable AI-driven revenue — data center revenue is at record levels with 60%+ growth guided for FY2026, Q3 guided at $331-339M representing significant AI-driven acceleration, and the 1.6T product family addresses the next wave of AI networking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MACOM Strategic Overview — IQE compound semiconductor supply agreement, STMicroelectronics GaN partnership, 18% R&amp;D intensity; macom.com, GlobeNewswire, 2025-2026</w:t>
      </w:r>
    </w:p>
    <w:p>
      <w:pPr>
        <w:spacing w:before="20" w:after="20"/>
        <w:ind w:left="170"/>
      </w:pPr>
      <w:r>
        <w:rPr>
          <w:rFonts w:ascii="Calibri" w:hAnsi="Calibri"/>
          <w:b/>
          <w:color w:val="4A6B25"/>
          <w:sz w:val="15"/>
        </w:rPr>
        <w:t xml:space="preserve">2. </w:t>
      </w:r>
      <w:r>
        <w:rPr>
          <w:rFonts w:ascii="Calibri" w:hAnsi="Calibri"/>
          <w:b w:val="0"/>
          <w:color w:val="3A4A28"/>
          <w:sz w:val="17"/>
        </w:rPr>
        <w:t>MACOM Q2 FY2026 Earnings Release — $289M revenue, 22% YoY growth, data center growth raised to 60%+, Q3 guidance $331-339M; May 2026</w:t>
      </w:r>
    </w:p>
    <w:p>
      <w:pPr>
        <w:spacing w:before="20" w:after="20"/>
        <w:ind w:left="170"/>
      </w:pPr>
      <w:r>
        <w:rPr>
          <w:rFonts w:ascii="Calibri" w:hAnsi="Calibri"/>
          <w:b/>
          <w:color w:val="4A6B25"/>
          <w:sz w:val="15"/>
        </w:rPr>
        <w:t xml:space="preserve">3. </w:t>
      </w:r>
      <w:r>
        <w:rPr>
          <w:rFonts w:ascii="Calibri" w:hAnsi="Calibri"/>
          <w:b w:val="0"/>
          <w:color w:val="3A4A28"/>
          <w:sz w:val="17"/>
        </w:rPr>
        <w:t>MACOM AI Infrastructure Analysis — 1.6T optical components, Hot Via packaging, AI data center demand drivers; Seeking Alpha, Simply Wall St, ainvest.com, 2025-2026</w:t>
      </w:r>
    </w:p>
    <w:p>
      <w:pPr>
        <w:spacing w:before="20" w:after="20"/>
        <w:ind w:left="170"/>
      </w:pPr>
      <w:r>
        <w:rPr>
          <w:rFonts w:ascii="Calibri" w:hAnsi="Calibri"/>
          <w:b/>
          <w:color w:val="4A6B25"/>
          <w:sz w:val="15"/>
        </w:rPr>
        <w:t xml:space="preserve">4. </w:t>
      </w:r>
      <w:r>
        <w:rPr>
          <w:rFonts w:ascii="Calibri" w:hAnsi="Calibri"/>
          <w:b w:val="0"/>
          <w:color w:val="3A4A28"/>
          <w:sz w:val="17"/>
        </w:rPr>
        <w:t>MACOM Corporate Website — macom.com/about-macom, leadership and mission,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MACOM ESG Commitment Report — ESG steering committee, ISO 14001, environmental and governance initiatives; responsibilityreports.com, July 2022</w:t>
      </w:r>
    </w:p>
    <w:p>
      <w:pPr>
        <w:spacing w:before="20" w:after="20"/>
        <w:ind w:left="170"/>
      </w:pPr>
      <w:r>
        <w:rPr>
          <w:rFonts w:ascii="Calibri" w:hAnsi="Calibri"/>
          <w:b/>
          <w:color w:val="4A6B25"/>
          <w:sz w:val="15"/>
        </w:rPr>
        <w:t xml:space="preserve">6. </w:t>
      </w:r>
      <w:r>
        <w:rPr>
          <w:rFonts w:ascii="Calibri" w:hAnsi="Calibri"/>
          <w:b w:val="0"/>
          <w:color w:val="3A4A28"/>
          <w:sz w:val="17"/>
        </w:rPr>
        <w:t>MACOM Glassdoor Reviews — 3.8/5 overall, 215 reviews, leadership culture feedback; glassdoor.com,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MTSI Insider Trading Activity — 0 buys, 8 sells, $348M total insider selling over 12 months; MarketBeat, StockTitan, 2025-2026</w:t>
      </w:r>
    </w:p>
    <w:p>
      <w:pPr>
        <w:spacing w:before="20" w:after="20"/>
        <w:ind w:left="170"/>
      </w:pPr>
      <w:r>
        <w:rPr>
          <w:rFonts w:ascii="Calibri" w:hAnsi="Calibri"/>
          <w:b/>
          <w:color w:val="4A6B25"/>
          <w:sz w:val="15"/>
        </w:rPr>
        <w:t xml:space="preserve">8. </w:t>
      </w:r>
      <w:r>
        <w:rPr>
          <w:rFonts w:ascii="Calibri" w:hAnsi="Calibri"/>
          <w:b w:val="0"/>
          <w:color w:val="3A4A28"/>
          <w:sz w:val="17"/>
        </w:rPr>
        <w:t>Yahoo Finance — MTSI Key Statistics, Forward PE 58.74, PEG 1.96, D/E 29%, ROE 13.49%;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