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w:t>
      </w:r>
      <w:r>
        <w:rPr>
          <w:rFonts w:ascii="Calibri" w:hAnsi="Calibri"/>
          <w:b/>
          <w:color w:val="1A2010"/>
          <w:sz w:val="40"/>
        </w:rPr>
        <w:t xml:space="preserve">  ArcelorMittal S.A.</w:t>
      </w:r>
    </w:p>
    <w:p>
      <w:pPr>
        <w:spacing w:after="120"/>
      </w:pPr>
      <w:r>
        <w:rPr>
          <w:rFonts w:ascii="Calibri" w:hAnsi="Calibri"/>
          <w:b/>
          <w:color w:val="6E8450"/>
          <w:sz w:val="18"/>
        </w:rPr>
        <w:t>GROWTH SLEEVE · 2026-07-21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Steel · NYSE · Luxembourg</w:t>
      </w:r>
    </w:p>
    <w:p>
      <w:pPr>
        <w:spacing w:after="80"/>
      </w:pPr>
      <w:r>
        <w:rPr>
          <w:rFonts w:ascii="Calibri" w:hAnsi="Calibri"/>
          <w:b w:val="0"/>
          <w:color w:val="3A4A28"/>
          <w:sz w:val="20"/>
        </w:rPr>
        <w:t>ArcelorMittal S.A. is the world's largest steel producer, operating in over 60 countries with approximately 152,000 employees. The company produces flat steel products, long steel products, and tubular products for construction, automotive, appliance, and packaging industries. ArcelorMittal also has significant mining operations (iron ore, coal) that vertically integrate its steel production. Under CEO Aditya Mittal (son of founder Lakshmi Mittal), the company is pursuing a decarbonization strategy centered on Electric Arc Furnace (EAF) expansion (now 25% of global production) and green steel certification through its XCarb initiative, while maintaining its position as the global steel industry leader.</w:t>
      </w:r>
    </w:p>
    <w:p>
      <w:r>
        <w:rPr>
          <w:rFonts w:ascii="Calibri" w:hAnsi="Calibri"/>
          <w:b/>
          <w:color w:val="6E8450"/>
          <w:sz w:val="18"/>
        </w:rPr>
        <w:t>152,000 Employees · https://corporate.arcelormittal.com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ArcelorMittal has expanded Electric Arc Furnace capacity to 25% of global production, a meaningful shift toward lower-carbon steelmaking [2]. The company launched XCarb green steel certificates and invested $1B in decarbonization since 2018. However, these are incremental improvements to traditional steelmaking processes, not transformative business model pivots. The delay of final investment decisions on European green steel projects due to 'unfavorable policy and market environments' undermines the innovation narrative [4]. AI Deployment (0/2): AI-enabled environmental monitoring has been deployed internally [2], but no customer-facing AI products or quantified AI-driven cost savings have been reported. Market Share (2/2): ArcelorMittal is the world's largest steel producer by volume, a category-defining position maintained across market cycles [1][3]. The company's global scale, geographic diversification, and vertical integration (mining + steelmaking) represent clear category leadership. Product Pipeline (1/2): XCarb green steel certificates, EAF expansion, and dynamic pricing concepts represent the next-generation product strategy [2]. However, specific timelines for major green steel projects remain uncertain after the investment decision delays, and the green steel premium market is still nascent [4]. R&amp;D Intensity (1/1): ArcelorMittal invested $272M in R&amp;D in 2024, which is at or slightly above industry average for the steel sector, funding materials science research, process innovation, and decarbonization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ArcelorMittal's mission is 'to transform tomorrow through smarter steels' with a complementary vision of delivering 'smarter steels for a better world' [3]. This connects the company's core business to sustainability and global impact, which is more thoughtful than a typical industrial mission. However, the delay of green steel investments when market conditions deteriorated suggests the purpose is subordinate to financial conditions, reducing its credibility as a genuine guiding principle. Community Impact (1/2): ArcelorMittal has invested $1B in decarbonization since 2018, achieved a 47.7% reduction in absolute Scope 1 and 2 emissions since 2018, and improved safety KPIs including a 50%+ reduction in fatality frequency rate [2]. As a major employer (152,000 people), the company has significant community impact in industrial regions. However, these are primarily business-driven investments (regulatory compliance, customer demand for green steel), not distinctive philanthropy. Employee Retention (0/2): Safety improvements are significant (50% reduction in fatality rate, 7% reduction in lost-time injuries YoY) and signal genuine care for worker welfare [2]. However, no specific retention, tenure, or voluntary turnover data was identified. The company's heavy industrial workforce faces inherent challenges around engagement and retention. Insider Buying (0/2): ArcelorMittal is controlled by the Mittal family (Lakshmi Mittal as Executive Chairman, Aditya Mittal as CEO), which represents built-in alignment [3]. However, no specific net insider buying by executives beyond the family's existing controlling stake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ArcelorMittal's infrastructure strengths include a conservative debt-to-equity ratio of 24% (well below the 70% target) and an attractive forward P/E of 12.50 [1][6]. However, several metrics are weak: ROE of 6.02% is well below the 15% target, profit margin of 5.14% reflects the commodity nature of steel production, and revenue is declining (-1.74% YoY in 2025 after a -8.54% decline in 2024) [1][6]. The 5-year revenue CAGR of approximately 3% (driven by the COVID recovery bounce from 2020) masks a declining trend from the 2022 peak of $79.8B. The PEG ratio is excluded from scoring because forward EPS growth is negative (2026 consensus EPS of $3.92 vs estimated 2025 EPS of ~$4.14). Steel is inherently cyclical, and current metrics reflect a mid-cycle trough. Liquidity is adequate at approximately $25M daily trading value on 509K average daily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ArcelorMittal operates with a predominantly finite mindset. While the company articulates a sustainability-oriented purpose ('smarter steels for a better world') and has invested $1B in decarbonization, the delay of green steel investments when market conditions deteriorated reveals that financial considerations override purpose when tested. The family-controlled structure prioritizes the Mittal family's legacy and shareholder returns (aggressive buybacks, growing dividends) over transformative investments. Sinek would note that the company's competitive language focuses on being the 'largest' and 'most admired' steel producer -- finite framing about winning, not about advancing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ArcelorMittal's purpose of 'transforming tomorrow through smarter steels' has the elements of a Just Cause -- it's forward-looking, connects steel production to sustainability, and goes beyond pure financial metrics [3]. However, the purpose was directly tested in 2025-2026 when the company delayed final investment decisions on European green steel projects, citing 'unfavorable policy and market environments' [4]. A genuine Just Cause survives adverse conditions -- the company should have invested because it was right, not because conditions were favorable. This decision reveals the purpose is aspirational branding rather than a conviction that drives behavior when it's costly.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ArcelorMittal has demonstrated genuine commitment to worker safety, with a 50%+ reduction in fatality frequency rate and 7% reduction in lost-time injuries year-over-year [2]. CEO Aditya Mittal has identified safety as a 'non-negotiable core value,' and the improved KPIs are attributed to 'clearer leadership expectations and more uniform risk-management practices.' For a heavy industrial company with 152,000 employees across 60 countries, consistent safety improvement demonstrates organizational trust. However, no broader evidence of employee empowerment, psychological safety, or cultural practices beyond safety was identified. The family-controlled corporate structure may limit organizational voice.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ArcelorMittal's competitive positioning centers on being the world's 'largest' steel producer and aspiring to be 'the most admired steel producer in the world' [3]. This language is fundamentally about winning -- being the biggest, the best, the most admired. The company's competitive strategy focuses on scale advantages, cost leadership, and global diversification rather than learning from competitors' innovations. When Chinese steel producers or European competitors gain advantages, ArcelorMittal's response is through trade protection (anti-dumping duties) and cost cutting rather than adaptation and learning. This is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ArcelorMittal is attempting a meaningful strategic shift from traditional blast furnace steelmaking to lower-carbon Electric Arc Furnace (EAF) production, which now represents 25% of global output [2]. The XCarb green steel initiative and $1B decarbonization investment represent genuine strategic evolution in response to customer demand and regulatory pressure. The company has also pioneered green steel certificates and dynamic pricing. However, the transformation is incremental (EAF expansion alongside existing blast furnaces, not replacing them), and the decision to delay green steel investments when conditions deteriorated suggests the flexibility is conditional on favorable economics rather than driven by conviction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ArcelorMittal has invested $1B in decarbonization since 2018, expanded EAF capacity to 25% of production, and pioneered XCarb green steel certification [2]. CEO Aditya Mittal has identified decarbonization as 'the biggest challenge but also the biggest opportunity' for the company's future [3]. The $272M annual R&amp;D investment and AWS partnership for digital transformation show commitment to long-term capability building [5]. However, the decision to delay green steel investments due to unfavorable market conditions directly contradicts courage in Sinek's framework -- courage means investing in the right direction even when the cost is real and immediate [4]. The massive share buyback program and dividend growth suggest capital allocation prioritizes shareholder returns over transformative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ArcelorMittal offers deep cyclical value as the world's largest steel producer, trading at a forward P/E of 12.50 with a conservative debt-to-equity of only 24% and $5.39B in cash [1][6]. Q1 2026 delivered $15.5B in sales (up 4.45% YoY) and $575M in net income, with improved performance in North America and Europe reflecting a potential cyclical recovery from the 2024-2025 trough [1]. The company's balance sheet strength supports a growing dividend ($0.60/share, up from $0.30 in 2020, representing a 14.9% 5-year CAGR) and aggressive share buyback programs. Long-term, ArcelorMittal's XCarb green steel initiative and EAF expansion (25% of production) position the company to benefit from the emerging green steel premium as automotive and construction customers demand lower-carbon materials [2]. The company's global scale, vertical integration (mining + steelmaking), and diversified geographic footprint provide resilience across steel market cycles.</w:t>
      </w:r>
    </w:p>
    <w:p>
      <w:pPr>
        <w:spacing w:after="120"/>
      </w:pPr>
      <w:r>
        <w:rPr>
          <w:rFonts w:ascii="Calibri" w:hAnsi="Calibri"/>
          <w:b w:val="0"/>
          <w:color w:val="3A4A28"/>
          <w:sz w:val="20"/>
        </w:rPr>
        <w:t>The bear case centers on steel's commodity economics and ArcelorMittal's inability to escape cyclical earnings volatility. Revenue has declined from $79.8B (2022) to $61.4B (2025), and the 2026 consensus of $56.9B implies further contraction [1][6]. Profit margin of 5.14% and ROE of 6.02% reflect the structural challenge of generating attractive returns in commodity steel production, where pricing power is limited and overcapacity (particularly from Chinese producers) creates persistent pressure. The delay of European green steel investments due to 'unfavorable policy and market environments' raises questions about whether the decarbonization strategy will deliver results within a meaningful timeframe [4]. ArcelorMittal suspended its dividend in 2019-2020, demonstrating that shareholder returns are contingent on cycle positioning. The 47.7% emissions reduction since 2018 is impressive, but ESG-focused investors may be concerned by the company's deceleration of climate commitments when tested by market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cycle recovery with Q1 2026 showing improved pricing and margins in North America and Europe, potentially driving earnings upward from the 2024-2025 trough toward mid-cycle levels</w:t>
      </w:r>
    </w:p>
    <w:p>
      <w:pPr>
        <w:spacing w:before="40" w:after="40"/>
        <w:ind w:left="283"/>
      </w:pPr>
      <w:r>
        <w:rPr>
          <w:rFonts w:ascii="Calibri" w:hAnsi="Calibri"/>
          <w:b/>
          <w:color w:val="4A6B25"/>
          <w:sz w:val="20"/>
        </w:rPr>
        <w:t xml:space="preserve">2. </w:t>
      </w:r>
      <w:r>
        <w:rPr>
          <w:rFonts w:ascii="Calibri" w:hAnsi="Calibri"/>
          <w:b w:val="0"/>
          <w:color w:val="3A4A28"/>
          <w:sz w:val="20"/>
        </w:rPr>
        <w:t>Green steel premium realization through XCarb certificates and EAF expansion as automotive and construction customers increasingly demand lower-carbon steel, creating potential for margin differentiation</w:t>
      </w:r>
    </w:p>
    <w:p>
      <w:pPr>
        <w:spacing w:before="40" w:after="40"/>
        <w:ind w:left="283"/>
      </w:pPr>
      <w:r>
        <w:rPr>
          <w:rFonts w:ascii="Calibri" w:hAnsi="Calibri"/>
          <w:b/>
          <w:color w:val="4A6B25"/>
          <w:sz w:val="20"/>
        </w:rPr>
        <w:t xml:space="preserve">3. </w:t>
      </w:r>
      <w:r>
        <w:rPr>
          <w:rFonts w:ascii="Calibri" w:hAnsi="Calibri"/>
          <w:b w:val="0"/>
          <w:color w:val="3A4A28"/>
          <w:sz w:val="20"/>
        </w:rPr>
        <w:t>Continued shareholder returns through the growing dividend ($0.60/share, 14.9% 5-year CAGR) and share buyback programs, supported by the conservative balance sheet (24% D/E, $5.39B cash)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from $79.8B (2022) to a 2026 consensus of $56.9B, with profit margin of 5.14% and ROE of 6.02% reflecting commodity steel's structural challenge of generating attractive returns in an overcapacity environment</w:t>
      </w:r>
    </w:p>
    <w:p>
      <w:pPr>
        <w:spacing w:before="40" w:after="40"/>
        <w:ind w:left="283"/>
      </w:pPr>
      <w:r>
        <w:rPr>
          <w:rFonts w:ascii="Calibri" w:hAnsi="Calibri"/>
          <w:b/>
          <w:color w:val="4A6B25"/>
          <w:sz w:val="20"/>
        </w:rPr>
        <w:t xml:space="preserve">2. </w:t>
      </w:r>
      <w:r>
        <w:rPr>
          <w:rFonts w:ascii="Calibri" w:hAnsi="Calibri"/>
          <w:b w:val="0"/>
          <w:color w:val="3A4A28"/>
          <w:sz w:val="20"/>
        </w:rPr>
        <w:t>Delayed European green steel investments due to 'unfavorable policy and market environments' undermine the decarbonization thesis and raise questions about whether ArcelorMittal will achieve its 2030 climate targets</w:t>
      </w:r>
    </w:p>
    <w:p>
      <w:pPr>
        <w:spacing w:before="40" w:after="40"/>
        <w:ind w:left="283"/>
      </w:pPr>
      <w:r>
        <w:rPr>
          <w:rFonts w:ascii="Calibri" w:hAnsi="Calibri"/>
          <w:b/>
          <w:color w:val="4A6B25"/>
          <w:sz w:val="20"/>
        </w:rPr>
        <w:t xml:space="preserve">3. </w:t>
      </w:r>
      <w:r>
        <w:rPr>
          <w:rFonts w:ascii="Calibri" w:hAnsi="Calibri"/>
          <w:b w:val="0"/>
          <w:color w:val="3A4A28"/>
          <w:sz w:val="20"/>
        </w:rPr>
        <w:t>Chinese steel overcapacity and trade policy uncertainty create persistent pricing pressure, with potential for further margin compression if global demand weakens or anti-dumping protections are reduced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ArcelorMittal's core business -- mining iron ore, smelting steel in blast furnaces and electric arc furnaces, rolling and finishing steel products, and distributing through global logistics networks -- is essentially immune to AI substitution [1]. Steel production requires massive physical infrastructure (blast furnaces, rolling mills, mines), complex metallurgical processes, and global supply chain operations that AI cannot replicate. The regulatory and safety requirements of heavy industry add additional moats. AI may actually increase demand for steel through data center construction (AI infrastructure), grid modernization, and manufacturing expansion. ArcelorMittal has deployed AI-enabled monitoring internally for environmental compliance and process optimization [2], demonstrating that AI enhances rather than threatens the business. The only risk dimension is that AI could help smaller competitors optimize operations more efficiently, but ArcelorMittal's scale advantages are structural and cannot be replicated by software. AI Opportunity (0/1): No AI revenue. ArcelorMittal uses AI internally for operational optimization and environmental monitoring [2], but does not generate revenue from AI products or services. This is expected for a steel producer.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ArcelorMittal Q1 2026 Earnings Release -- ArcelorMittal.com Regulatory News, May 2026</w:t>
      </w:r>
    </w:p>
    <w:p>
      <w:pPr>
        <w:spacing w:before="20" w:after="20"/>
        <w:ind w:left="170"/>
      </w:pPr>
      <w:r>
        <w:rPr>
          <w:rFonts w:ascii="Calibri" w:hAnsi="Calibri"/>
          <w:b/>
          <w:color w:val="4A6B25"/>
          <w:sz w:val="15"/>
        </w:rPr>
        <w:t xml:space="preserve">2. </w:t>
      </w:r>
      <w:r>
        <w:rPr>
          <w:rFonts w:ascii="Calibri" w:hAnsi="Calibri"/>
          <w:b w:val="0"/>
          <w:color w:val="3A4A28"/>
          <w:sz w:val="17"/>
        </w:rPr>
        <w:t>ArcelorMittal 2025 ESG Report: Safety, Climate, and Environmental Data -- SEC Filing 6-K, February 2026</w:t>
      </w:r>
    </w:p>
    <w:p>
      <w:pPr>
        <w:spacing w:before="20" w:after="20"/>
        <w:ind w:left="170"/>
      </w:pPr>
      <w:r>
        <w:rPr>
          <w:rFonts w:ascii="Calibri" w:hAnsi="Calibri"/>
          <w:b/>
          <w:color w:val="4A6B25"/>
          <w:sz w:val="15"/>
        </w:rPr>
        <w:t xml:space="preserve">3. </w:t>
      </w:r>
      <w:r>
        <w:rPr>
          <w:rFonts w:ascii="Calibri" w:hAnsi="Calibri"/>
          <w:b w:val="0"/>
          <w:color w:val="3A4A28"/>
          <w:sz w:val="17"/>
        </w:rPr>
        <w:t>Aditya Mittal CEO Profile and Strategic Vision -- ArcelorMittal.com Leadership,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ESG Today -- ArcelorMittal Delays Green Steel Investments Due to Unfavorable Policy and Market Environments, 2025</w:t>
      </w:r>
    </w:p>
    <w:p>
      <w:pPr>
        <w:spacing w:before="20" w:after="20"/>
        <w:ind w:left="170"/>
      </w:pPr>
      <w:r>
        <w:rPr>
          <w:rFonts w:ascii="Calibri" w:hAnsi="Calibri"/>
          <w:b/>
          <w:color w:val="4A6B25"/>
          <w:sz w:val="15"/>
        </w:rPr>
        <w:t xml:space="preserve">5. </w:t>
      </w:r>
      <w:r>
        <w:rPr>
          <w:rFonts w:ascii="Calibri" w:hAnsi="Calibri"/>
          <w:b w:val="0"/>
          <w:color w:val="3A4A28"/>
          <w:sz w:val="17"/>
        </w:rPr>
        <w:t>ArcelorMittal 2026 General Meeting: Dividend, Board Elections, and Capital Actions -- SEC Filing 6-K, 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