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MUR</w:t>
      </w:r>
      <w:r>
        <w:rPr>
          <w:rFonts w:ascii="Calibri" w:hAnsi="Calibri"/>
          <w:b/>
          <w:color w:val="1A2010"/>
          <w:sz w:val="40"/>
        </w:rPr>
        <w:t xml:space="preserve">  Murphy Oil Corporation</w:t>
      </w:r>
    </w:p>
    <w:p>
      <w:pPr>
        <w:spacing w:after="120"/>
      </w:pPr>
      <w:r>
        <w:rPr>
          <w:rFonts w:ascii="Calibri" w:hAnsi="Calibri"/>
          <w:b/>
          <w:color w:val="6E8450"/>
          <w:sz w:val="18"/>
        </w:rPr>
        <w:t>DIVIDEND SLEEVE · 2026-07-11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Murphy Oil Corporation is an independent exploration and production company with operations in the United States, Canada, and internationally. The company explores for and produces crude oil, natural gas, and natural gas liquids, with key assets in the Eagle Ford Shale, Gulf of Mexico, and international operations in Vietnam and Cote d'Ivoire. Founded in 1950 and headquartered in Houston, Texas.</w:t>
      </w:r>
    </w:p>
    <w:p>
      <w:r>
        <w:rPr>
          <w:rFonts w:ascii="Calibri" w:hAnsi="Calibri"/>
          <w:b/>
          <w:color w:val="6E8450"/>
          <w:sz w:val="18"/>
        </w:rPr>
        <w:t>813 Employees · https://www.murphyoilcorp.com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Murphy Oil has executed its 'Murphy 3.0' strategy focused on maintaining production growth from existing assets while testing material upside through international exploration [1]. The Bubale-1X oil discovery and progress on Lac Da Vang (targeting first oil in Vietnam 4Q 2026) represent geographic expansion, but these are standard E&amp;P exploration activities rather than transformative pivots or new business model innovations [2]. AI Deployment (0/2): No AI-powered products or services shipping to customers. Murphy has representation at AI in Oil &amp; Gas conferences and employs technology specialists, but no quantified AI-driven cost savings or revenue reported [2]. Market Share (0/2): Murphy Oil is a small-to-mid-cap E&amp;P player with Q1 2026 production of 174,236 BOEPD — a modest participant in a fragmented market with no category leadership or meaningful share gains [1]. Product Pipeline (1/2): Specific exploration targets with timelines — Lac Da Vang first oil targeted 4Q 2026, Hai Su Vang appraisal ongoing in Vietnam, Paon field development plan in Cote d'Ivoire — provide visibility into future production, though no revenue estimates are quantified [1][2]. R&amp;D Intensity (0/1): E&amp;P companies invest in exploration rather than traditional R&amp;D. Murphy's capital spending of $465M in Q1 2026 within $1.2-1.3B annual guidance is typical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Murphy Oil's purpose centers on responsible energy development, with sustainability integrated into operations and governance. The company publishes annual sustainability reports aligned with SASB, TCFD, GRI, and Ipieca frameworks, with ESG issues a formal part of every Board meeting [3]. The purpose is clear and connects energy production to responsible stewardship, but it is not distinctive among E&amp;P peers — many companies use similar language. Community Impact (1/2): Murphy Oil has been named one of 'America's Most Responsible Companies' by Newsweek and recognized as a 'Best Place for Working Parents' for four consecutive years (2022-2025) [3]. The company maintains 35% minority representation among US employees and sustainability metrics are weighted at 20% in the annual incentive plan, including GHG intensity goals [3]. These programs are meaningful but lack the distinctive dollar-amount charitable investment that would earn full marks. Employee Retention (1/2): With only 813 employees, Murphy Oil maintains a lean organization. The consecutive 'Best Place for Working Parents' recognition and ESG incentive alignment suggest a culture that values employees, though no specific tenure or turnover data is publicly available [3]. Insider Buying (0/2): No evidence of meaningful net insider buying by CEO or multiple executives in the last 12 months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Murphy Oil's balance sheet is a standout with D/E of only 43.95%, well below the 70% target, reflecting disciplined leverage management with $2.38B liquidity and $1.55B total debt [1]. Forward P/E of 9.8 is extremely attractive at half the 20 target, signaling deep value pricing despite cyclical earnings weakness [4]. Revenue growth of 8.9% YoY nearly meets the 10% target, with Q1 2026 revenue of $733.6M and reaffirmed full-year guidance [1]. However, profitability metrics are severely depressed — ROE of just 2.23% and profit margin of 3.06% reflect compressed E&amp;P economics with Q1 2026 net income of only $53M [1]. The payout ratio of 224.58% is unsustainable and exceeds the 100% floor, scoring zero on that metric. The long dividend history (82 consecutive years of payment since 1944, including through the 2020 reduction) and recovery-driven 5-year dividend growth CAGR of approximately 18% provide significant positive weight [4]. Calculation: D/E 1.0(x1) + ROE 0.15(x1) + RevGr 0.96(x1) + FwdPE 1.0(x1) + PM 0.15(x1) + Payout 0.0(x1) + YrsPaid 1.0(x2) + YrsGr 0.5(x1) + DivGr 1.0(x2) = 7.76/11 = 7.05,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Murphy Oil operates with a conventional E&amp;P mindset focused on production targets, capital returns, and shareholder distributions. The Murphy 3.0 strategy prioritizes returning a minimum of 50% of adjusted free cash flow to shareholders through buybacks and dividends — a hallmark of finite game thinking that optimizes for near-term capital return over long-term capability building. While the company has exploration upside through Vietnam and Cote d'Ivoire assets, these represent standard industry operations rather than existential strategic flexibility. The company's 'Do Right Always' value is an ethical commitment,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Murphy Oil's stated value of 'Do Right Always' and its commitment to responsible energy development are ethical commitments, not a Just Cause in Sinek's framework [3]. The company's primary strategic communication centers on production targets (167,000-175,000 BOEPD), capital allocation ratios (50%+ FCF to shareholders), and exploration upside [1]. Leadership does not reference a higher cause that transcends the quarterly production cycle. Sinek would classify this as a company that exists to produce hydrocarbons profitably — a legitimate business but not a Just Cause that inspires sacrifice or endures beyond any single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813 employees, Murphy Oil operates as a lean, specialized organization. The company has been recognized as a 'Best Place for Working Parents' for four consecutive years (2022-2025), and maintains 35% minority representation among US employees [3]. Sustainability metrics weighted at 20% in annual incentive plans and GHG intensity goals in compensation suggest management is aligned around shared values. The company achieved its lowest emissions intensities since 2013 and highest water recycling volume in company history [3]. However, no specific employee engagement scores, voluntary turnover data, or cultural trust indicators are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Murphy Oil's competitive language in earnings calls and strategic communications focuses on production volumes, cost efficiency, and exploration success — standard finite competitive framing in the E&amp;P industry [1]. No evidence was found of management referencing competitors' strengths as motivation for self-improvement or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Murphy Oil's most significant strategic pivot was the 2013 spin-off of its retail gas station business (Murphy USA), transforming from a vertically integrated operation into a pure-play E&amp;P company [4]. More recently, international expansion into Vietnam (Lac Da Vang, Hai Su Vang) and Cote d'Ivoire (Paon, Bubale-1X) represents geographic diversification beyond legacy Gulf of Mexico and Eagle Ford assets [1]. These adaptations are meaningful but incremental — the company remains fundamentally the same E&amp;P business it has been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Murphy Oil demonstrated some courage by maintaining exploration spending in frontier basins (Vietnam, Cote d'Ivoire) during commodity price volatility, committing $465M in Q1 2026 capex against a $1.2-1.3B annual budget [1]. The company's commitment to GHG emissions intensity reduction targets (15-20% by 2030 vs. 2019), zero routine flaring by 2030, and ESG-linked compensation at 20% of annual incentive represent forward-thinking decisions for an E&amp;P company [3]. However, the minimum 50% FCF return commitment limits the capital available for transformative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Murphy Oil delivered Q1 2026 revenue of $733.6M with production of 174,236 BOEPD, beating analyst EPS estimates at $0.32 adjusted EPS versus $0.29 consensus, and reaffirmed full-year 2026 guidance of 167,000-175,000 BOEPD with $1.2-1.3B capital spending [1]. The balance sheet is a clear strength — D/E of only 43.95% with $2.38B total liquidity and $1.55B total debt provides significant financial flexibility, while the Forward P/E of 9.8 signals deep value relative to forward earnings power [4]. The 4.02% dividend yield offers attractive income backed by 82 consecutive years of payment, and the international exploration portfolio in Vietnam (Lac Da Vang first oil targeted 4Q 2026, Hai Su Vang discovery) and Cote d'Ivoire (Bubale-1X discovery, Paon development) provides meaningful optionality not reflected in the current valuation.</w:t>
      </w:r>
    </w:p>
    <w:p>
      <w:pPr>
        <w:spacing w:after="120"/>
      </w:pPr>
      <w:r>
        <w:rPr>
          <w:rFonts w:ascii="Calibri" w:hAnsi="Calibri"/>
          <w:b w:val="0"/>
          <w:color w:val="3A4A28"/>
          <w:sz w:val="20"/>
        </w:rPr>
        <w:t>The bear case centers on unsustainable capital allocation. The 224.58% payout ratio means Murphy Oil is paying far more in dividends than it earns — a $1.36/share annual dividend against only $0.59 in EPS [4]. This is funded by debt capacity and asset cash flows, not organic earnings, and is structurally unsustainable if commodity prices remain depressed. ROE of 2.23% and profit margin of 3.06% reflect severely compressed E&amp;P economics, while EPS declined 27.5% year-over-year despite 8.9% revenue growth [1]. The company's 813-person workforce limits organizational capacity for the ambitious international exploration program. Murphy is a small E&amp;P company with no competitive moat, no pricing power, and complete dependence on commodity cycles it cannot control. The forward earnings recovery implied by the 9.8x Forward P/E requires sustained oil price improvement that is far from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Lac Da Vang (Golden Camel) first oil targeted in Vietnam by 4Q 2026, with the Hai Su Vang discovery providing additional appraisal upside in an underexplored basin</w:t>
      </w:r>
    </w:p>
    <w:p>
      <w:pPr>
        <w:spacing w:before="40" w:after="40"/>
        <w:ind w:left="283"/>
      </w:pPr>
      <w:r>
        <w:rPr>
          <w:rFonts w:ascii="Calibri" w:hAnsi="Calibri"/>
          <w:b/>
          <w:color w:val="4A6B25"/>
          <w:sz w:val="20"/>
        </w:rPr>
        <w:t xml:space="preserve">2. </w:t>
      </w:r>
      <w:r>
        <w:rPr>
          <w:rFonts w:ascii="Calibri" w:hAnsi="Calibri"/>
          <w:b w:val="0"/>
          <w:color w:val="3A4A28"/>
          <w:sz w:val="20"/>
        </w:rPr>
        <w:t>Forward P/E of 9.8 implies significant earnings recovery ahead — if commodity prices normalize, EPS could expand materially from the current depressed $0.59, driving substantial re-rating from deep value levels</w:t>
      </w:r>
    </w:p>
    <w:p>
      <w:pPr>
        <w:spacing w:before="40" w:after="40"/>
        <w:ind w:left="283"/>
      </w:pPr>
      <w:r>
        <w:rPr>
          <w:rFonts w:ascii="Calibri" w:hAnsi="Calibri"/>
          <w:b/>
          <w:color w:val="4A6B25"/>
          <w:sz w:val="20"/>
        </w:rPr>
        <w:t xml:space="preserve">3. </w:t>
      </w:r>
      <w:r>
        <w:rPr>
          <w:rFonts w:ascii="Calibri" w:hAnsi="Calibri"/>
          <w:b w:val="0"/>
          <w:color w:val="3A4A28"/>
          <w:sz w:val="20"/>
        </w:rPr>
        <w:t>International exploration portfolio (Vietnam, Cote d'Ivoire including Bubale-1X discovery) provides asymmetric risk-reward optionality not reflected in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224.58% is structurally unsustainable — the company pays $1.36/share in dividends against $0.59 in EPS, requiring a dividend cut if earnings do not recover or commodity prices weaken further</w:t>
      </w:r>
    </w:p>
    <w:p>
      <w:pPr>
        <w:spacing w:before="40" w:after="40"/>
        <w:ind w:left="283"/>
      </w:pPr>
      <w:r>
        <w:rPr>
          <w:rFonts w:ascii="Calibri" w:hAnsi="Calibri"/>
          <w:b/>
          <w:color w:val="4A6B25"/>
          <w:sz w:val="20"/>
        </w:rPr>
        <w:t xml:space="preserve">2. </w:t>
      </w:r>
      <w:r>
        <w:rPr>
          <w:rFonts w:ascii="Calibri" w:hAnsi="Calibri"/>
          <w:b w:val="0"/>
          <w:color w:val="3A4A28"/>
          <w:sz w:val="20"/>
        </w:rPr>
        <w:t>ROE of 2.23% and profit margin of 3.06% reflect near-breakeven economics at current commodity prices — a sustained oil price decline would push the company toward losses and threaten the 82-year dividend streak</w:t>
      </w:r>
    </w:p>
    <w:p>
      <w:pPr>
        <w:spacing w:before="40" w:after="40"/>
        <w:ind w:left="283"/>
      </w:pPr>
      <w:r>
        <w:rPr>
          <w:rFonts w:ascii="Calibri" w:hAnsi="Calibri"/>
          <w:b/>
          <w:color w:val="4A6B25"/>
          <w:sz w:val="20"/>
        </w:rPr>
        <w:t xml:space="preserve">3. </w:t>
      </w:r>
      <w:r>
        <w:rPr>
          <w:rFonts w:ascii="Calibri" w:hAnsi="Calibri"/>
          <w:b w:val="0"/>
          <w:color w:val="3A4A28"/>
          <w:sz w:val="20"/>
        </w:rPr>
        <w:t>International exploration in Vietnam and Cote d'Ivoire carries significant geological, political, and execution risk with no guaranteed production outcomes against $1.2-1.3B in annual capital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Murphy Oil's core business — exploring for, drilling, producing, and transporting crude oil and natural gas — is fundamentally a physical-world operation that AI cannot substitute [1]. Extracting hydrocarbons from deepwater Gulf of Mexico wells, Eagle Ford Shale horizontal drilling, and international exploration in Vietnam and Cote d'Ivoire require physical infrastructure, geological expertise, regulatory compliance, and capital-intensive assets that are structurally immune to AI displacement. AI tools can enhance seismic interpretation, optimize drilling parameters, and improve reservoir modeling, but these are incremental efficiency gains that benefit operators rather than threatening the business model. Analysts have not flagged AI as a disruption risk for upstream E&amp;P companies. AI data center buildout increases energy demand, creating a potential tailwind for oil and gas producers [2]. AI Opportunity (0/1): Murphy Oil does not generate any quantifiable revenue from AI-related products or services. While the company participates in industry AI conferences, there are no shipping AI products or reported AI-driven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Murphy Oil Corporation Q1 2026 Earnings Release and 2026 Guidance Reaffirmation, May 6, 2026 — ir.murphyoilcorp.com</w:t>
      </w:r>
    </w:p>
    <w:p>
      <w:pPr>
        <w:spacing w:before="20" w:after="20"/>
        <w:ind w:left="170"/>
      </w:pPr>
      <w:r>
        <w:rPr>
          <w:rFonts w:ascii="Calibri" w:hAnsi="Calibri"/>
          <w:b/>
          <w:color w:val="4A6B25"/>
          <w:sz w:val="15"/>
        </w:rPr>
        <w:t xml:space="preserve">2. </w:t>
      </w:r>
      <w:r>
        <w:rPr>
          <w:rFonts w:ascii="Calibri" w:hAnsi="Calibri"/>
          <w:b w:val="0"/>
          <w:color w:val="3A4A28"/>
          <w:sz w:val="17"/>
        </w:rPr>
        <w:t>Murphy Oil 2025-2026 Strategic Outlook, Murphy 3.0 Strategy, and Exploration Updates — SEC Form 8-K, 2026</w:t>
      </w:r>
    </w:p>
    <w:p>
      <w:pPr>
        <w:spacing w:before="20" w:after="20"/>
        <w:ind w:left="170"/>
      </w:pPr>
      <w:r>
        <w:rPr>
          <w:rFonts w:ascii="Calibri" w:hAnsi="Calibri"/>
          <w:b/>
          <w:color w:val="4A6B25"/>
          <w:sz w:val="15"/>
        </w:rPr>
        <w:t xml:space="preserve">3. </w:t>
      </w:r>
      <w:r>
        <w:rPr>
          <w:rFonts w:ascii="Calibri" w:hAnsi="Calibri"/>
          <w:b w:val="0"/>
          <w:color w:val="3A4A28"/>
          <w:sz w:val="17"/>
        </w:rPr>
        <w:t>Murphy Oil Corporation 2024-2025 Sustainability Reports and ESG Governance Framework — murphyoilcorp.com/sustainability-report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MUR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Murphy Oil Q1 2026 10-Q Filing — SEC,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