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MXCT</w:t>
      </w:r>
      <w:r>
        <w:rPr>
          <w:rFonts w:ascii="Calibri" w:hAnsi="Calibri"/>
          <w:b/>
          <w:color w:val="1A2010"/>
          <w:sz w:val="40"/>
        </w:rPr>
        <w:t xml:space="preserve">  MaxCyte, Inc.</w:t>
      </w:r>
    </w:p>
    <w:p>
      <w:pPr>
        <w:spacing w:after="120"/>
      </w:pPr>
      <w:r>
        <w:rPr>
          <w:rFonts w:ascii="Calibri" w:hAnsi="Calibri"/>
          <w:b/>
          <w:color w:val="6E8450"/>
          <w:sz w:val="18"/>
        </w:rPr>
        <w:t>GROWTH SLEEVE · 2026-08-08 · Inspire: 48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Instruments &amp; Supplies · NASDAQ · United States</w:t>
      </w:r>
    </w:p>
    <w:p>
      <w:pPr>
        <w:spacing w:after="80"/>
      </w:pPr>
      <w:r>
        <w:rPr>
          <w:rFonts w:ascii="Calibri" w:hAnsi="Calibri"/>
          <w:b w:val="0"/>
          <w:color w:val="3A4A28"/>
          <w:sz w:val="20"/>
        </w:rPr>
        <w:t>MaxCyte is a cell engineering company that provides Flow Electroporation technology and instruments enabling researchers and biopharmaceutical companies to transfect cells for drug discovery, development, and manufacturing of cell-based therapies including CAR-T, gene editing, and other advanced cell therapies. The company's ExPERT platform is used by over 150 cell therapy developers worldwide, and its Flow Electroporation technology was instrumental in developing CASGEVY, the first FDA-approved non-viral cell therapy. MaxCyte also offers SeQure DX gene editing services. Headquartered in Gaithersburg, Maryland.</w:t>
      </w:r>
    </w:p>
    <w:p>
      <w:r>
        <w:rPr>
          <w:rFonts w:ascii="Calibri" w:hAnsi="Calibri"/>
          <w:b/>
          <w:color w:val="6E8450"/>
          <w:sz w:val="18"/>
        </w:rPr>
        <w:t>200 Employees · https://www.maxcyte.com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MaxCyte's Flow Electroporation technology was instrumental in developing CASGEVY (Vertex/CRISPR Therapeutics), the first FDA-approved non-viral cell therapy — a landmark achievement validating the platform's clinical utility [1][3]. The company also launched SeQure DX gene editing services, expanding from hardware into services. However, revenue has declined 15% in 2025 and guidance for 2026 is $30-32M, indicating commercial momentum has not followed the technology validation [2]. AI Deployment (0/2): No evidence of AI-powered products or quantified AI-driven savings. The company's value proposition is biological/physical, not computational. Market Share (1/2): MaxCyte holds a meaningful position in the cell electroporation niche with 150+ biopharma customer relationships and proprietary Flow Electroporation technology, but faces competition from Lonza, Thermo Fisher, and other cell therapy infrastructure providers [3]. Pipeline (1/2): SeQure DX expansion and SPL milestones expected in the back half of 2026; established a Scientific Advisory Board of globally recognized cell engineering experts to guide development priorities [3]. R&amp;D Intensity (1/1): As a biotech platform company with -135% operating margins, MaxCyte's R&amp;D spending significantly exceeds industry average relative to revenue, reflecting heavy investment in platform capabilities [4].</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MaxCyte's purpose centers on enabling cell engineering to advance life-saving cell therapies — a genuine healthcare mission connecting the company's technology to potentially curative treatments for cancer, sickle cell disease, and genetic disorders [3]. The mission is clear and identifies a meaningful societal contribution, but it is not distinctively articulated compared to other cell therapy infrastructure companies. Community Impact (0/2): No evidence of significant charitable giving, foundation, or community investment programs was identified. Employee Retention (0/2): CEO Maher Masoud was appointed January 2024 — only 2.5 years of tenure. The company has 'streamlined the organization' which may indicate layoffs. No specific retention metrics, average tenure, or employee satisfaction data found [3]. Insider Buying (0/2): The company announced a $10M share repurchase program, but this is corporate buyback, not executive insider buying. No evidence of meaningful personal insider purchases by CEO or management was identified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approximately 31,290 shares at stock price of $1.38 yields daily dollar volume of approximately $43,200, far below the $1,000,000 liquidity threshold required for IOWN tradability [4]. Infrastructure score is automatically set to 0 regardless of underlying financial metrics. For reference, the company has a clean balance sheet with D/E of 10%, $103M cash against $17.9M debt (net cash of $85.1M or $0.80/share), but deeply unprofitable operations with ROE of -23.6% and profit margin of -135% [4]. Revenue declining: FY2025 revenue of $33.0M fell 15% YoY, and 2026 guidance of $30-32M implies further contraction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MaxCyte operates in a purpose-rich space — enabling life-saving cell therapies — but as a small, struggling biotech with declining revenue and recent leadership changes, it has not demonstrated the sustained infinite game thinking that Sinek values. The company's Just Cause is genuine (advancing cell engineering to cure disease) but its ability to execute is questioned by falling revenue and -135% margins. CEO Masoud is relatively new (January 2024) and has not yet had sufficient tenure to establish a pattern of infinite-minded leadership.</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MaxCyte's purpose of enabling cell engineering to advance cell therapies connects directly to a transformative healthcare vision — a future where cancers and genetic diseases are cured through engineered cells [3]. The company's technology was instrumental in creating CASGEVY, the first FDA-approved non-viral cell therapy for sickle cell disease, providing concrete validation that the cause is real and the technology can deliver [1]. However, the company has not yet demonstrated multi-decade consistency; it is still pre-profitability after 25 years and faces existential financial challenges.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Maher Masoud, appointed January 2024, has been open about navigating the challenging biotech funding environment and has emphasized culture-building during organizational streamlining [3]. The establishment of a Scientific Advisory Board of globally recognized cell engineering experts signals a collaborative, science-first culture. However, 'streamlining the organization' typically implies workforce reductions, and the company's limited size (~200 employees) and challenging financial position create inherent uncertainty. No specific retention data or employee satisfaction metrics were found.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was found. MaxCyte's competitive positioning focuses on the proprietary advantages of Flow Electroporation versus rival technologies (viral vectors, lipid nanoparticles) rather than learning from competitors' strengths. The company's investor messaging emphasizes technology superiority and market position rather than collaborative improvement [3].</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MaxCyte has evolved from a pure instrument sales company to a more integrated cell therapy services platform through the launch of SeQure DX gene editing services and Strategic Platform License (SPL) agreements [1][2]. This shift from hardware to services-plus-hardware represents meaningful business model evolution. However, the transformation is incremental rather than transformative — the core electroporation technology remains the foundation, and the company has not made the kind of bold pivot that Sinek would characterize as existential flexibility.</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MaxCyte faces declining revenue (-15% in 2025, further decline guided for 2026) and deeply negative margins (-135%), yet there is limited evidence of courageous long-term investment decisions or strategic bets that sacrifice near-term results for future capability [2]. The $10M share repurchase program, while supporting the stock, is a relatively modest capital allocation decision. CEO Masoud has been in the role only since January 2024 and has yet to demonstrate a pattern of leadership courage through costly long-term investments or principled strategic decisions.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MaxCyte holds a unique position in the cell therapy infrastructure ecosystem — its Flow Electroporation technology was instrumental in creating CASGEVY, the first FDA-approved non-viral cell therapy, validating the platform's clinical-grade capabilities [1]. The company's 150+ biopharma customer relationships and proprietary technology create meaningful competitive moats. With $103M cash against $17.9M debt, MaxCyte has approximately 2-3 years of runway at current burn rates, providing time for the cell therapy market to mature and for SPL milestones to convert to revenue [4]. The stock at $1.38 prices the company at roughly 1.3x cash, suggesting the market assigns near-zero value to the technology platform — a potential deep-value opportunity if cell therapy volumes inflect.</w:t>
      </w:r>
    </w:p>
    <w:p>
      <w:pPr>
        <w:spacing w:after="120"/>
      </w:pPr>
      <w:r>
        <w:rPr>
          <w:rFonts w:ascii="Calibri" w:hAnsi="Calibri"/>
          <w:b w:val="0"/>
          <w:color w:val="3A4A28"/>
          <w:sz w:val="20"/>
        </w:rPr>
        <w:t>The bear case is severe: revenue declined 15% in 2025 to $33M and 2026 guidance of $30-32M implies further contraction, driven by reduced purchases from the company's largest SPL customer and a challenging biotech funding environment that constrains cell therapy developers' spending [2]. The -135% profit margin means the company burns approximately $45M annually against a $103M cash position, creating a 2-3 year survival window without new capital [4]. The stock has declined 67% over the past 52 weeks to $1.38, and average daily volume of ~31K shares makes the position essentially untradable for institutional investors — any meaningful position would take weeks to build or exit. The liquidity floor failure (daily dollar volume of ~$43K) makes this unsuitable for IOWN. MaxCyte needs a fundamental demand catalyst in cell therapy volumes that has not yet materialized despite the CASGEVY proof point.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Cell therapy market inflection driven by additional non-viral gene therapy FDA approvals using MaxCyte's electroporation technology, converting technology validation into commercial volume</w:t>
      </w:r>
    </w:p>
    <w:p>
      <w:pPr>
        <w:spacing w:before="40" w:after="40"/>
        <w:ind w:left="283"/>
      </w:pPr>
      <w:r>
        <w:rPr>
          <w:rFonts w:ascii="Calibri" w:hAnsi="Calibri"/>
          <w:b/>
          <w:color w:val="4A6B25"/>
          <w:sz w:val="20"/>
        </w:rPr>
        <w:t xml:space="preserve">2. </w:t>
      </w:r>
      <w:r>
        <w:rPr>
          <w:rFonts w:ascii="Calibri" w:hAnsi="Calibri"/>
          <w:b w:val="0"/>
          <w:color w:val="3A4A28"/>
          <w:sz w:val="20"/>
        </w:rPr>
        <w:t>SPL milestone revenue recognition from strategic partners advancing through clinical trials, with 2026 guidance assuming $5M in SPL revenue concentrated in the back half of the year</w:t>
      </w:r>
    </w:p>
    <w:p>
      <w:pPr>
        <w:spacing w:before="40" w:after="40"/>
        <w:ind w:left="283"/>
      </w:pPr>
      <w:r>
        <w:rPr>
          <w:rFonts w:ascii="Calibri" w:hAnsi="Calibri"/>
          <w:b/>
          <w:color w:val="4A6B25"/>
          <w:sz w:val="20"/>
        </w:rPr>
        <w:t xml:space="preserve">3. </w:t>
      </w:r>
      <w:r>
        <w:rPr>
          <w:rFonts w:ascii="Calibri" w:hAnsi="Calibri"/>
          <w:b w:val="0"/>
          <w:color w:val="3A4A28"/>
          <w:sz w:val="20"/>
        </w:rPr>
        <w:t>SeQure DX gene editing services gaining traction as biopharma companies outsource cell engineering work, providing a higher-margin recurring revenue stream beyond instrument sales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in structural decline — 15% drop in 2025 and further contraction guided for 2026 — with the largest SPL customer reducing purchases 15%, raising dependency and concentration risk</w:t>
      </w:r>
    </w:p>
    <w:p>
      <w:pPr>
        <w:spacing w:before="40" w:after="40"/>
        <w:ind w:left="283"/>
      </w:pPr>
      <w:r>
        <w:rPr>
          <w:rFonts w:ascii="Calibri" w:hAnsi="Calibri"/>
          <w:b/>
          <w:color w:val="4A6B25"/>
          <w:sz w:val="20"/>
        </w:rPr>
        <w:t xml:space="preserve">2. </w:t>
      </w:r>
      <w:r>
        <w:rPr>
          <w:rFonts w:ascii="Calibri" w:hAnsi="Calibri"/>
          <w:b w:val="0"/>
          <w:color w:val="3A4A28"/>
          <w:sz w:val="20"/>
        </w:rPr>
        <w:t>Cash runway of approximately 2-3 years at current burn rates ($45M annual loss against $103M cash) creates existential risk if cell therapy demand does not accelerate or capital markets remain closed to unprofitable biotechs</w:t>
      </w:r>
    </w:p>
    <w:p>
      <w:pPr>
        <w:spacing w:before="40" w:after="40"/>
        <w:ind w:left="283"/>
      </w:pPr>
      <w:r>
        <w:rPr>
          <w:rFonts w:ascii="Calibri" w:hAnsi="Calibri"/>
          <w:b/>
          <w:color w:val="4A6B25"/>
          <w:sz w:val="20"/>
        </w:rPr>
        <w:t xml:space="preserve">3. </w:t>
      </w:r>
      <w:r>
        <w:rPr>
          <w:rFonts w:ascii="Calibri" w:hAnsi="Calibri"/>
          <w:b w:val="0"/>
          <w:color w:val="3A4A28"/>
          <w:sz w:val="20"/>
        </w:rPr>
        <w:t>Liquidity crisis — average daily volume of ~31K shares at $1.38 (daily dollar volume ~$43K) makes the stock essentially untradable for institutional portfolios and risks NASDAQ delisting if price remains below $1.00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MaxCyte's core business — manufacturing and selling physical electroporation instruments for cell engineering — involves proprietary hardware and biological processes that AI structurally cannot replace [3]. The transfection of cells requires physical electrical pulses to create temporary pores in cell membranes, a process governed by physics and biology rather than data processing. FDA regulatory requirements for GMP manufacturing equipment create additional barriers to substitution. AI may enhance cell therapy development workflows (target identification, protocol optimization), but the physical electroporation step remains essential. The modest risk is that AI-designed alternatives to electroporation (e.g., novel delivery mechanisms discovered through AI-driven research) could eventually compete, but this is speculative and long-term. AI Opportunity (0/1): MaxCyte does not generate revenue from AI products or services. The company's value proposition is entirely biological/physical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MaxCyte Q1 2026 Financial Results — MaxCyte Investor Relations / StockTitan, May 2026</w:t>
      </w:r>
    </w:p>
    <w:p>
      <w:pPr>
        <w:spacing w:before="20" w:after="20"/>
        <w:ind w:left="170"/>
      </w:pPr>
      <w:r>
        <w:rPr>
          <w:rFonts w:ascii="Calibri" w:hAnsi="Calibri"/>
          <w:b/>
          <w:color w:val="4A6B25"/>
          <w:sz w:val="15"/>
        </w:rPr>
        <w:t xml:space="preserve">2. </w:t>
      </w:r>
      <w:r>
        <w:rPr>
          <w:rFonts w:ascii="Calibri" w:hAnsi="Calibri"/>
          <w:b w:val="0"/>
          <w:color w:val="3A4A28"/>
          <w:sz w:val="17"/>
        </w:rPr>
        <w:t>MaxCyte FY2025 Results and Full Year 2026 Guidance ($30-32M Revenue) — MaxCyte Investor Relations, March 2026</w:t>
      </w:r>
    </w:p>
    <w:p>
      <w:pPr>
        <w:spacing w:before="20" w:after="20"/>
        <w:ind w:left="170"/>
      </w:pPr>
      <w:r>
        <w:rPr>
          <w:rFonts w:ascii="Calibri" w:hAnsi="Calibri"/>
          <w:b/>
          <w:color w:val="4A6B25"/>
          <w:sz w:val="15"/>
        </w:rPr>
        <w:t xml:space="preserve">3. </w:t>
      </w:r>
      <w:r>
        <w:rPr>
          <w:rFonts w:ascii="Calibri" w:hAnsi="Calibri"/>
          <w:b w:val="0"/>
          <w:color w:val="3A4A28"/>
          <w:sz w:val="17"/>
        </w:rPr>
        <w:t>MaxCyte CEO Maher Masoud Profile, CASGEVY Partnership, and Scientific Advisory Board — MaxCyte.com / Big4Bio / Forbes,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MaxCyte (MXCT) Financial Statistics and Valuation — StockAnalysis / Yahoo Finance,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