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NBIX</w:t>
      </w:r>
      <w:r>
        <w:rPr>
          <w:rFonts w:ascii="Calibri" w:hAnsi="Calibri"/>
          <w:b/>
          <w:color w:val="1A2010"/>
          <w:sz w:val="40"/>
        </w:rPr>
        <w:t xml:space="preserve">  Neurocrine Biosciences, Inc.</w:t>
      </w:r>
    </w:p>
    <w:p>
      <w:pPr>
        <w:spacing w:after="120"/>
      </w:pPr>
      <w:r>
        <w:rPr>
          <w:rFonts w:ascii="Calibri" w:hAnsi="Calibri"/>
          <w:b/>
          <w:color w:val="6E8450"/>
          <w:sz w:val="18"/>
        </w:rPr>
        <w:t>GROWTH SLEEVE · 2026-08-06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Neurocrine Biosciences, Inc. is a neuroscience-focused biopharmaceutical company that discovers, develops, and markets treatments for neurological, neuroendocrine, and neuropsychiatric disorders. Lead products include INGREZZA (valbenazine) for tardive dyskinesia, CRENESSITY (crinecerfont) for congenital adrenal hyperplasia, and VYKAT XR. Founded in 1992, headquartered in San Diego. Market cap approximately $13.5 billion.</w:t>
      </w:r>
    </w:p>
    <w:p>
      <w:r>
        <w:rPr>
          <w:rFonts w:ascii="Calibri" w:hAnsi="Calibri"/>
          <w:b/>
          <w:color w:val="6E8450"/>
          <w:sz w:val="18"/>
        </w:rPr>
        <w:t>2,800 Employees · https://www.neurocrine.com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Neurocrine successfully launched CRENESSITY (crinecerfont) for congenital adrenal hyperplasia, which reached $184M in Q2 2026 net sales — a major new revenue stream representing strong commercial execution for a first-in-class treatment [1]. Also launched VYKAT XR and completed the Soleno Therapeutics acquisition in May 2026 to expand into Prader-Willi syndrome, adding another pipeline asset. INGREZZA continues to grow at 15% YoY to $716M quarterly [1]. AI Deployment (0/2): Hired AI-focused CIO Lewis Choi (formerly VP of AI Automation &amp; Data at Thermo Fisher) to accelerate R&amp;D and reduce clinical trial costs, but no AI-powered products are shipping and no quantified AI-driven cost savings have been reported [3]. Market Share (2/2): INGREZZA is the dominant treatment for tardive dyskinesia with category-defining market share against AbbVie's AUSTEDO, and CRENESSITY is the first FDA-approved treatment specifically for congenital adrenal hyperplasia, establishing an entirely new therapeutic category [1]. Product Pipeline (2/2): Specific next-gen programs include luvbaloxamide for schizophrenia (Phase 3), NBI-1065845 for MDD (Phase 2), DCCR for Prader-Willi syndrome (acquired via Soleno), and INGREZZA lifecycle extensions — all with defined clinical timelines [1][3]. R&amp;D Intensity (1/1): R&amp;D spend is substantial for a biotech company, supporting a broad neuroscience pipeline across multiple modalities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'To relieve suffering for people with great needs, but few options' is a specific, thoughtful purpose that connects directly to the company's exclusive focus on underserved neurological patients with limited treatment alternatives [3]. This mission has guided 34 years of consistent strategic focus on neuroscience rather than diversifying into more commercially attractive therapeutic areas. Falls short of level 4 because the company underwent a CEO transition in 2024-2025 (Kevin Gorman to Kyle Gano) and the cause hasn't yet been validated through the new leadership era. Community Impact (0/2): Corporate responsibility page exists with standard sustainability commitments, but no evidence of distinctive charitable foundations, specific dollar amounts for community investment, or standout philanthropic programs [3]. Employee Retention (0/2): No publicly available data on employee tenure, voluntary turnover, or specific cultural metrics that would indicate above-average retention for the biotech industry [3]. Insider Buying (0/2): Significant net insider selling — insiders sold 395,422 shares valued at $62.4M in the most recent quarter, reflecting routine compensation-driven liquidation rather than conviction-buying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Exceptional across nearly every dimension. D/E of 14% reflects a fortress balance sheet with $1.48B cash against only $471M debt, providing $1.01B net cash position [2]. ROE of 16.38% clears the 15% target despite the conservative capital structure, indicating genuine operational profitability rather than leverage-driven returns [2]. Revenue growth is outstanding — Q2 2026 revenue of $959M grew 39% YoY driven by CRENESSITY launch and INGREZZA expansion, with 5-year revenue CAGR of approximately 25% ($918M in 2020 to $2.86B in 2025) [1][4]. Forward P/E of 15.97 is below the 20 target, and PEG of 0.47 is well below the 1.0 target, reflecting a rare combination of growth and reasonable valuation [2]. Profit margin of 16.73% is the only metric below target (20%), reflecting the high R&amp;D and SG&amp;A costs associated with the CRENESSITY launch and pipeline investment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Neurocrine Biosciences has maintained a consistent focus on underserved neurological patients for 34 years, which reflects genuine long-term purpose. The deliberate CEO succession plan from founder Kevin Gorman to Kyle Gano demonstrates organizational maturity. However, the company's heavy dependence on a single product (INGREZZA = 75% of revenue), significant insider selling, and lack of publicly visible cultural distinctiveness leave questions about whether the organization is built to endure beyond its current product cycle.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'To relieve suffering for people with great needs, but few options' is a genuine, distinctive purpose that has guided 34 years of exclusive focus on neurological disorders — a therapeutic area that many larger pharma companies have abandoned due to high clinical trial failure rates and complex CNS biology [3]. Strategic decisions to remain neuroscience-focused rather than diversifying into oncology or immunology (where commercial opportunities are larger) trace directly to this cause. The CEO transition from founder Gorman to Gano was planned around preserving this focus. Falls short of 3 because the company is relatively young as a commercial-stage biotech and the cause hasn't been tested through a true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deliberate CEO succession — promoting Kyle Gano, who helped develop INGREZZA and CRENESSITY — and concurrent hiring of new CMO and CIO suggest organizational stability and internal talent development [3]. The company's 34-year history with a consistent scientific focus provides cultural continuity. However, no specific data on employee tenure, voluntary turnover, or cultural practices is publicly available, and the recent leadership transition creates inherent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Neurocrine competes primarily with AbbVie's AUSTEDO in tardive dyskinesia, but no evidence in management commentary of acknowledging AbbVie's strengths or framing competition as motivation for improvement [1]. Public communications focus on INGREZZA's clinical differentiation and market share defense rather than learning from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Neurocrine expanded from an INGREZZA-dependent single-product company to a multi-franchise biotech through the CRENESSITY launch (entirely new therapeutic area in endocrinology) and Soleno Therapeutics acquisition (Prader-Willi syndrome) [1]. These moves diversify the revenue base while staying within the neuroscience/neuroendocrine expertise. The evolution is meaningful but incremental — the company has not faced a moment requiring a transformative pivot away from its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heavily in CRENESSITY clinical development for congenital adrenal hyperplasia — a rare disease with a small patient population — rather than pursuing larger commercial opportunities demonstrates some willingness to prioritize mission over maximum revenue [1][3]. The Soleno acquisition in May 2026 represents a meaningful capital allocation bet on rare disease. However, these decisions carry moderate risk given the company's $1.01B net cash position and strong INGREZZA cash flows, limiting the true courage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Neurocrine Biosciences delivered record Q2 2026 revenue of $959M (up 39% YoY) driven by INGREZZA's continued market dominance ($716M, up 15%) and CRENESSITY's strong launch trajectory ($184M in its first full year) [1]. Management raised full-year INGREZZA guidance to $2,825-2,875M and completed the Soleno Therapeutics acquisition to add a third commercial franchise. The financial profile is exceptional for a growth biotech — forward P/E of 15.97, PEG of 0.47, net cash of $1.01B, and 25% five-year revenue CAGR — representing a rare combination of high growth at reasonable valuation with fortress-like balance sheet strength [2]. The pipeline includes luvbaloxamide for schizophrenia and DCCR for Prader-Willi syndrome, providing next-generation growth catalysts.</w:t>
      </w:r>
    </w:p>
    <w:p>
      <w:pPr>
        <w:spacing w:after="120"/>
      </w:pPr>
      <w:r>
        <w:rPr>
          <w:rFonts w:ascii="Calibri" w:hAnsi="Calibri"/>
          <w:b w:val="0"/>
          <w:color w:val="3A4A28"/>
          <w:sz w:val="20"/>
        </w:rPr>
        <w:t>The primary risk is concentration — INGREZZA still represents approximately 75% of revenue and any competitive threat, generic entry (patent cliff in early 2030s), or pricing pressure would have outsized impact on the company's earnings power [1]. CRENESSITY's long-term peak sales remain uncertain as the congenital adrenal hyperplasia market is small (~30,000 US patients) and the commercial ramp must sustain current trajectory to justify expectations. The stock at $125 has underperformed despite strong fundamentals, suggesting the market is discounting pipeline risk and INGREZZA patent expiration uncertainty [2]. Insider selling of $62.4M in the most recent quarter, while likely routine, creates negative optics [4]. The Soleno acquisition adds execution risk and integration complexity for a company that has historically been an organic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CRENESSITY commercial ramp continuing at $184M quarterly pace with expanding prescriber adoption, potentially reaching $700M+ annual run-rate by end of 2026 and establishing a major second franchise</w:t>
      </w:r>
    </w:p>
    <w:p>
      <w:pPr>
        <w:spacing w:before="40" w:after="40"/>
        <w:ind w:left="283"/>
      </w:pPr>
      <w:r>
        <w:rPr>
          <w:rFonts w:ascii="Calibri" w:hAnsi="Calibri"/>
          <w:b/>
          <w:color w:val="4A6B25"/>
          <w:sz w:val="20"/>
        </w:rPr>
        <w:t xml:space="preserve">2. </w:t>
      </w:r>
      <w:r>
        <w:rPr>
          <w:rFonts w:ascii="Calibri" w:hAnsi="Calibri"/>
          <w:b w:val="0"/>
          <w:color w:val="3A4A28"/>
          <w:sz w:val="20"/>
        </w:rPr>
        <w:t>Luvbaloxamide Phase 3 data readout for schizophrenia could transform Neurocrine into a three-franchise company with a potential blockbuster in a $10B+ market</w:t>
      </w:r>
    </w:p>
    <w:p>
      <w:pPr>
        <w:spacing w:before="40" w:after="40"/>
        <w:ind w:left="283"/>
      </w:pPr>
      <w:r>
        <w:rPr>
          <w:rFonts w:ascii="Calibri" w:hAnsi="Calibri"/>
          <w:b/>
          <w:color w:val="4A6B25"/>
          <w:sz w:val="20"/>
        </w:rPr>
        <w:t xml:space="preserve">3. </w:t>
      </w:r>
      <w:r>
        <w:rPr>
          <w:rFonts w:ascii="Calibri" w:hAnsi="Calibri"/>
          <w:b w:val="0"/>
          <w:color w:val="3A4A28"/>
          <w:sz w:val="20"/>
        </w:rPr>
        <w:t>INGREZZA guidance raised to $2,825-2,875M for FY2026 with continued volume-driven growth as tardive dyskinesia awareness and diagnosis rates increase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INGREZZA concentration risk — 75% of revenue from a single product with patent expiration approaching in the early 2030s, leaving limited time to build diversified replacement revenue streams</w:t>
      </w:r>
    </w:p>
    <w:p>
      <w:pPr>
        <w:spacing w:before="40" w:after="40"/>
        <w:ind w:left="283"/>
      </w:pPr>
      <w:r>
        <w:rPr>
          <w:rFonts w:ascii="Calibri" w:hAnsi="Calibri"/>
          <w:b/>
          <w:color w:val="4A6B25"/>
          <w:sz w:val="20"/>
        </w:rPr>
        <w:t xml:space="preserve">2. </w:t>
      </w:r>
      <w:r>
        <w:rPr>
          <w:rFonts w:ascii="Calibri" w:hAnsi="Calibri"/>
          <w:b w:val="0"/>
          <w:color w:val="3A4A28"/>
          <w:sz w:val="20"/>
        </w:rPr>
        <w:t>CRENESSITY's small addressable market (~30,000 US patients with congenital adrenal hyperplasia) may cap peak sales potential and limit the product's ability to offset eventual INGREZZA declines</w:t>
      </w:r>
    </w:p>
    <w:p>
      <w:pPr>
        <w:spacing w:before="40" w:after="40"/>
        <w:ind w:left="283"/>
      </w:pPr>
      <w:r>
        <w:rPr>
          <w:rFonts w:ascii="Calibri" w:hAnsi="Calibri"/>
          <w:b/>
          <w:color w:val="4A6B25"/>
          <w:sz w:val="20"/>
        </w:rPr>
        <w:t xml:space="preserve">3. </w:t>
      </w:r>
      <w:r>
        <w:rPr>
          <w:rFonts w:ascii="Calibri" w:hAnsi="Calibri"/>
          <w:b w:val="0"/>
          <w:color w:val="3A4A28"/>
          <w:sz w:val="20"/>
        </w:rPr>
        <w:t>Insider selling of $62.4M in the most recent quarter and $125 stock price trading 31% below analyst consensus target of $180.82 suggest potential overhang from institutional profit-taking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Neurocrine's core business — FDA-regulated drug development, clinical trials, and commercialization of neuroscience therapeutics — is structurally immune to AI disruption [1][3]. AI cannot substitute for the years-long clinical trial process, FDA approval requirements, physical drug manufacturing, or the specialized salesforce calling on neurologists and endocrinologists. The regulatory moat alone (10+ year exclusivity periods, complex patent estates) creates insurmountable barriers. AI may eventually accelerate drug discovery and clinical trial design, but this would benefit Neurocrine rather than threaten it — faster R&amp;D reduces costs while the commercial model remains protected. No analyst has flagged AI as a substitution risk for specialty pharma business models. AI Opportunity (0/1): No AI-generated revenue. The hiring of CIO Lewis Choi to apply AI to R&amp;D and clinical operations is exploratory — no AI-powered products, services, or quantified internal cost savings have been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Neurocrine Biosciences Q2 2026 Earnings Release — $959M revenue (39% YoY), INGREZZA $716M, CRENESSITY $184M, raised INGREZZA guidance to $2,825-2,875M, July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StockAnalysis — NBIX key statistics: Forward P/E 15.97, PEG 0.47, D/E 0.14, ROE 16.38%, profit margin 16.73%,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Neurocrine Biosciences Corporate Website — Mission, leadership team, pipeline, CEO succession, CIO Lewis Choi appointment,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NASDAQ Insider Trading / Yahoo Finance — NBIX insider transactions: 395,422 shares sold ($62.4M) in most recent quarter,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CompaniesMarketCap — NBIX annual revenue history: FY2021 $1.13B, FY2022 $1.49B, FY2023 $1.89B, FY2024 $2.36B, FY2025 $2.86B</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