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NCI</w:t>
      </w:r>
      <w:r>
        <w:rPr>
          <w:rFonts w:ascii="Calibri" w:hAnsi="Calibri"/>
          <w:b/>
          <w:color w:val="1A2010"/>
          <w:sz w:val="40"/>
        </w:rPr>
        <w:t xml:space="preserve">  Neo-Concept International Group Holdings Limited</w:t>
      </w:r>
    </w:p>
    <w:p>
      <w:pPr>
        <w:spacing w:after="120"/>
      </w:pPr>
      <w:r>
        <w:rPr>
          <w:rFonts w:ascii="Calibri" w:hAnsi="Calibri"/>
          <w:b/>
          <w:color w:val="6E8450"/>
          <w:sz w:val="18"/>
        </w:rPr>
        <w:t>GROWTH SLEEVE · 2026-07-11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NasdaqCM · Hong Kong</w:t>
      </w:r>
    </w:p>
    <w:p>
      <w:pPr>
        <w:spacing w:after="80"/>
      </w:pPr>
      <w:r>
        <w:rPr>
          <w:rFonts w:ascii="Calibri" w:hAnsi="Calibri"/>
          <w:b w:val="0"/>
          <w:color w:val="3A4A28"/>
          <w:sz w:val="20"/>
        </w:rPr>
        <w:t>Neo-Concept International Group Holdings Limited is a one-stop apparel solution services provider based in Hong Kong, offering market trend analysis, product design and development, raw material sourcing, production and quality control, and logistics management services. The company serves brand owners, apparel sourcing agents, and online fashion retailers in European and North American markets, and sells owned-brand knitwear products under the 'Les100Ciels' and 'SIU' brands through retail stores in the UK and UAE and e-commerce. Incorporated in 2021 and headquartered in Kwun Tong, Kowloon, Hong Kong.</w:t>
      </w:r>
    </w:p>
    <w:p>
      <w:r>
        <w:rPr>
          <w:rFonts w:ascii="Calibri" w:hAnsi="Calibri"/>
          <w:b/>
          <w:color w:val="6E8450"/>
          <w:sz w:val="18"/>
        </w:rPr>
        <w:t>https://www.neo-concept.com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Neo-Concept completed a transformative acquisition from its affiliate Neo-Concept (Holdings) Company, gaining full ownership of the 'Les100Ciels' and 'SIU' brands along with all related trademarks, trade names, and R&amp;D teams [4]. Owned-brand retail revenue grew 138.8% to HK$27.5M in H1 2025, demonstrating early traction in the pivot from pure private-label to branded retail [1]. However, the core private-label business simultaneously collapsed 51.7% due to China-USA customs policy effects, and total revenue declined 24% to HK$60.2M — the innovation has not offset the structural decline, limiting this to a modest extension [1]. AI Deployment (0/2): No evidence of AI-powered products, AI-driven manufacturing optimization, or quantified AI efficiency gains. The company's operations remain traditional apparel manufacturing and sourcing [4]. Market Share (0/2): Neo-Concept is a micro-cap apparel provider with approximately HK$120M annual revenue (~$15M USD) competing against vastly larger global apparel supply chain companies. No market share data or category leadership position [1]. Product Pipeline (0/2): The Les100Ciels brand expansion into new retail locations in the UK and UAE provides some growth visibility, but no specific product launches, timelines, or revenue targets have been announced [4]. R&amp;D Intensity (0/1): Acquired R&amp;D teams through the brand acquisition, but no quantified R&amp;D spending as a percentage of revenue has been disclosed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Neo-Concept describes itself as a 'one-stop apparel solution services provider' with a commitment to 'reducing its environmental impact through recycling, clean processes, traceable sourcing and other eco-friendly practices' [4]. This is functional description of services plus generic sustainability language — it is interchangeable with any apparel manufacturing peer and does not articulate a deeper purpose or vision. Community Impact (0/2): No evidence of corporate philanthropy, foundation activity, community investment programs, or charitable giving was found in public filings or investor relations materials [4]. Employee Retention (0/2): No employee count, tenure data, turnover statistics, or cultural indicators are publicly available. The company does not report on workforce metrics in its public filings [2]. Insider Buying (0/2): No evidence of insider buying or selling activity was identified. The company adopted a 2026 Incentive Securities Plan providing equity-based compensation to employees, directors, and consultants, but this is standard corporate governance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Neo-Concept's financial profile is deeply distressed. Revenue declined 50.8% year-over-year as the core private-label business was devastated by China-USA tariff policies, with H1 2025 revenue of just HK$60.2M (~$7.7M USD) [1]. Profit margin of 0.24% reflects near-breakeven operations — H1 2025 net income was only HK$2.0M (~$0.3M USD) [1]. ROE of 0.58% indicates virtually no shareholder value creation. D/E of 82.0% is moderately above the 70% target but not alarming. The trailing P/E of 151.6 reflects minimal earnings, and no Forward P/E or PEG data is available, limiting metric coverage. Calculation: D/E 0.95(x1) + ROE 0.04(x2) + RevGr 0.0(x1) + PM 0.01(x1) = 1.04/5 = 2.08, rounds to 2. Liquidity check passes: avg daily volume of 537,137 shares at $12.13 yields $6.5M daily turnover, above the $1M threshold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Neo-Concept International operates with a survival-focused finite mindset characteristic of a micro-cap company navigating severe revenue disruption. The company lacks an articulated Just Cause beyond being an apparel services provider, and recent board instability (director resignation in March 2026) signals organizational uncertainty. The pivot to owned brands (Les100Ciels, SIU) shows some adaptive capacity, but the company is reacting to external tariff pressures rather than proactively advancing a long-term vision. Sinek would see a company playing to survive,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Neo-Concept exists to provide apparel supply chain services and sell branded knitwear. There is no articulated Just Cause — no vision of a future state that transcends the business itself, no purpose that would inspire sacrifice, and no evidence that leadership communicates a reason for existing beyond commercial success [4]. The company's investor communications focus entirely on financial metrics, brand acquisitions, and revenue diversification. Sinek would classify this as a company without a Just Cause — it operates to generate revenue, which is a finite objective.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Board instability is the primary concern — director Man Chi WAI resigned in March 2026 and was replaced by Chun Kwok Wong as an independent director and committee member [3]. For a micro-cap company, board-level departures signal potential governance friction. No employee engagement data, cultural indicators, or retention metrics are available. The 2026 Incentive Securities Plan adopted in June 2026 provides equity compensation, which could build alignment, but it is too new to have demonstrated trust-building effects [3]. The small scale of the organization makes trust assessments difficult without insider access.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Neo-Concept's communications do not reference competitors, competitive dynamics, or learning from rivals' strengths [4]. The company operates in a highly fragmented apparel supply chain market and does not position itself relative to specific competitors in a way that suggests self-improvement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Neo-Concept is undergoing a meaningful business model evolution — pivoting from pure private-label apparel sourcing to owned-brand retail through the Les100Ciels and SIU brand acquisitions [4]. Owned-brand revenue grew 138.8% in H1 2025 to HK$27.5M, partially offsetting the 51.7% collapse in private-label revenue [1]. The company is also expanding from wholesale to direct retail through physical stores in the UK and UAE plus e-commerce. These adaptations are significant for a company of this size, though they are reactive responses to tariff-driven revenue loss rather than proactive existential pivots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acquisition of Les100Ciels and SIU brands from the parent company represents a strategic bet on owned-brand retail at a time when the core private-label business was declining — this required reallocating resources toward an unproven revenue stream [4]. The decision to open physical retail stores in the UK and UAE while managing a 50.8% total revenue decline demonstrates willingness to invest in long-term capabilities despite severe short-term financial pressure [1]. However, the company's small scale means these 'bets' are existential necessities rather than courageous choices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Neo-Concept International is a micro-cap apparel company attempting a strategic pivot from private-label sourcing to owned-brand retail through the Les100Ciels and SIU brand acquisitions [4]. Owned-brand revenue grew 138.8% in H1 2025 to HK$27.5M, demonstrating early traction in the new business model [1]. Net income turned positive at HK$2.0M in H1 2025 versus HK$1.4M in the prior period, suggesting the business model shift may be gaining momentum despite severe private-label headwinds. The company trades at $12.13 with $6.5M daily liquidity, and successful scaling of the owned-brand retail channel could create meaningful upside from current depressed levels.</w:t>
      </w:r>
    </w:p>
    <w:p>
      <w:pPr>
        <w:spacing w:after="120"/>
      </w:pPr>
      <w:r>
        <w:rPr>
          <w:rFonts w:ascii="Calibri" w:hAnsi="Calibri"/>
          <w:b w:val="0"/>
          <w:color w:val="3A4A28"/>
          <w:sz w:val="20"/>
        </w:rPr>
        <w:t>The fundamental problem is that Neo-Concept's core private-label business has collapsed — revenue declined 50.8% year-over-year and 51.7% in the private-label segment specifically, driven by China-USA tariff policies that may persist or worsen [1]. With total H1 2025 revenue of just HK$60.2M (~$7.7M USD) and net income of HK$2.0M (~$0.3M USD), the company is operating at razor-thin margins (0.24% profit margin) with no margin of safety [1]. ROE of 0.58% and trailing P/E of 151.6 reflect a business generating virtually no economic value for shareholders. The D/E of 82.0% on a declining revenue base creates leverage risk. Board instability (March 2026 director resignation), the lack of analyst coverage or institutional ownership, and missing fundamental financial data (no Forward P/E, no PEG ratio) make this effectively uninvestable for most capital allocators [3][5]. The owned-brand pivot is promising but unproven at scale, and the company is competing against far larger, better-capitalized global apparel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Les100Ciels and SIU owned-brand retail expansion into new UK, UAE, and e-commerce channels, building on the 138.8% H1 2025 revenue growth in the owned-brand segment</w:t>
      </w:r>
    </w:p>
    <w:p>
      <w:pPr>
        <w:spacing w:before="40" w:after="40"/>
        <w:ind w:left="283"/>
      </w:pPr>
      <w:r>
        <w:rPr>
          <w:rFonts w:ascii="Calibri" w:hAnsi="Calibri"/>
          <w:b/>
          <w:color w:val="4A6B25"/>
          <w:sz w:val="20"/>
        </w:rPr>
        <w:t xml:space="preserve">2. </w:t>
      </w:r>
      <w:r>
        <w:rPr>
          <w:rFonts w:ascii="Calibri" w:hAnsi="Calibri"/>
          <w:b w:val="0"/>
          <w:color w:val="3A4A28"/>
          <w:sz w:val="20"/>
        </w:rPr>
        <w:t>Resolution or easing of China-USA tariff disruptions could stabilize or recover the private-label sourcing business that declined 51.7% in H1 2025</w:t>
      </w:r>
    </w:p>
    <w:p>
      <w:pPr>
        <w:spacing w:before="40" w:after="40"/>
        <w:ind w:left="283"/>
      </w:pPr>
      <w:r>
        <w:rPr>
          <w:rFonts w:ascii="Calibri" w:hAnsi="Calibri"/>
          <w:b/>
          <w:color w:val="4A6B25"/>
          <w:sz w:val="20"/>
        </w:rPr>
        <w:t xml:space="preserve">3. </w:t>
      </w:r>
      <w:r>
        <w:rPr>
          <w:rFonts w:ascii="Calibri" w:hAnsi="Calibri"/>
          <w:b w:val="0"/>
          <w:color w:val="3A4A28"/>
          <w:sz w:val="20"/>
        </w:rPr>
        <w:t>2026 Incentive Securities Plan aligning employee and director interests with shareholder value creation through equity-based compensation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revenue declined 50.8% YoY with private-label revenue down 51.7% due to China-USA tariff policies — further trade escalation could eliminate the remaining private-label business entirely</w:t>
      </w:r>
    </w:p>
    <w:p>
      <w:pPr>
        <w:spacing w:before="40" w:after="40"/>
        <w:ind w:left="283"/>
      </w:pPr>
      <w:r>
        <w:rPr>
          <w:rFonts w:ascii="Calibri" w:hAnsi="Calibri"/>
          <w:b/>
          <w:color w:val="4A6B25"/>
          <w:sz w:val="20"/>
        </w:rPr>
        <w:t xml:space="preserve">2. </w:t>
      </w:r>
      <w:r>
        <w:rPr>
          <w:rFonts w:ascii="Calibri" w:hAnsi="Calibri"/>
          <w:b w:val="0"/>
          <w:color w:val="3A4A28"/>
          <w:sz w:val="20"/>
        </w:rPr>
        <w:t>Profit margin of 0.24% and ROE of 0.58% leave zero buffer against any revenue shortfall, cost increase, or macroeconomic downturn — a single bad quarter could push the company to net losses</w:t>
      </w:r>
    </w:p>
    <w:p>
      <w:pPr>
        <w:spacing w:before="40" w:after="40"/>
        <w:ind w:left="283"/>
      </w:pPr>
      <w:r>
        <w:rPr>
          <w:rFonts w:ascii="Calibri" w:hAnsi="Calibri"/>
          <w:b/>
          <w:color w:val="4A6B25"/>
          <w:sz w:val="20"/>
        </w:rPr>
        <w:t xml:space="preserve">3. </w:t>
      </w:r>
      <w:r>
        <w:rPr>
          <w:rFonts w:ascii="Calibri" w:hAnsi="Calibri"/>
          <w:b w:val="0"/>
          <w:color w:val="3A4A28"/>
          <w:sz w:val="20"/>
        </w:rPr>
        <w:t>Micro-cap with no analyst coverage, no Forward P/E data, no institutional sponsorship, and recent board instability (director resignation March 2026) — extreme information asymmetry and governance risk for outside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Neo-Concept's core business involves physical apparel manufacturing, raw material sourcing, quality control, and logistics management — activities that require physical-world operations AI cannot substitute [4]. Garment production, textile sourcing, fabric inspection, and international shipping are hands-on processes requiring human expertise and physical infrastructure. However, the company's value-add services — market trend analysis and product design and development — face moderate AI exposure, as generative AI tools are increasingly capable of fashion trend forecasting, pattern design, and visual merchandising that could reduce the value of NCI's design services [4]. The private-label sourcing intermediary model is also vulnerable to AI-powered supply chain matching platforms that could connect brands directly with manufacturers. The company's small scale provides no defensive moat against these digital disruptions. AI Opportunity (0/1): Neo-Concept generates no revenue from AI-related products or services. There is no evidence of AI deployment in manufacturing operations, design processes, or customer-facing offerings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Neo-Concept International Group Holdings H1 2025 Unaudited Financial Results, November 2025 — GlobeNewsWire / Nasdaq</w:t>
      </w:r>
    </w:p>
    <w:p>
      <w:pPr>
        <w:spacing w:before="20" w:after="20"/>
        <w:ind w:left="170"/>
      </w:pPr>
      <w:r>
        <w:rPr>
          <w:rFonts w:ascii="Calibri" w:hAnsi="Calibri"/>
          <w:b/>
          <w:color w:val="4A6B25"/>
          <w:sz w:val="15"/>
        </w:rPr>
        <w:t xml:space="preserve">2. </w:t>
      </w:r>
      <w:r>
        <w:rPr>
          <w:rFonts w:ascii="Calibri" w:hAnsi="Calibri"/>
          <w:b w:val="0"/>
          <w:color w:val="3A4A28"/>
          <w:sz w:val="17"/>
        </w:rPr>
        <w:t>Neo-Concept International Group Holdings 20-F Annual Report — SEC Filing, 2024</w:t>
      </w:r>
    </w:p>
    <w:p>
      <w:pPr>
        <w:spacing w:before="20" w:after="20"/>
        <w:ind w:left="170"/>
      </w:pPr>
      <w:r>
        <w:rPr>
          <w:rFonts w:ascii="Calibri" w:hAnsi="Calibri"/>
          <w:b/>
          <w:color w:val="4A6B25"/>
          <w:sz w:val="15"/>
        </w:rPr>
        <w:t xml:space="preserve">3. </w:t>
      </w:r>
      <w:r>
        <w:rPr>
          <w:rFonts w:ascii="Calibri" w:hAnsi="Calibri"/>
          <w:b w:val="0"/>
          <w:color w:val="3A4A28"/>
          <w:sz w:val="17"/>
        </w:rPr>
        <w:t>Neo-Concept International Board Changes (Man Chi WAI resignation, Chun Kwok Wong appointment) and 2026 Incentive Securities Plan — SEC 6-K Filings, March-June 2026</w:t>
      </w:r>
    </w:p>
    <w:p>
      <w:pPr>
        <w:spacing w:before="20" w:after="20"/>
        <w:ind w:left="170"/>
      </w:pPr>
      <w:r>
        <w:rPr>
          <w:rFonts w:ascii="Calibri" w:hAnsi="Calibri"/>
          <w:b/>
          <w:color w:val="4A6B25"/>
          <w:sz w:val="15"/>
        </w:rPr>
        <w:t xml:space="preserve">4. </w:t>
      </w:r>
      <w:r>
        <w:rPr>
          <w:rFonts w:ascii="Calibri" w:hAnsi="Calibri"/>
          <w:b w:val="0"/>
          <w:color w:val="3A4A28"/>
          <w:sz w:val="17"/>
        </w:rPr>
        <w:t>Neo-Concept International Group Holdings Investor Relations and Company Overview — ir.neo-ig.com and neo-concept.com,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NCI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