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NIO</w:t>
      </w:r>
      <w:r>
        <w:rPr>
          <w:rFonts w:ascii="Calibri" w:hAnsi="Calibri"/>
          <w:b/>
          <w:color w:val="1A2010"/>
          <w:sz w:val="40"/>
        </w:rPr>
        <w:t xml:space="preserve">  NIO Inc.</w:t>
      </w:r>
    </w:p>
    <w:p>
      <w:pPr>
        <w:spacing w:after="120"/>
      </w:pPr>
      <w:r>
        <w:rPr>
          <w:rFonts w:ascii="Calibri" w:hAnsi="Calibri"/>
          <w:b/>
          <w:color w:val="6E8450"/>
          <w:sz w:val="18"/>
        </w:rPr>
        <w:t>GROWTH SLEEVE · 2026-08-15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China</w:t>
      </w:r>
    </w:p>
    <w:p>
      <w:pPr>
        <w:spacing w:after="80"/>
      </w:pPr>
      <w:r>
        <w:rPr>
          <w:rFonts w:ascii="Calibri" w:hAnsi="Calibri"/>
          <w:b w:val="0"/>
          <w:color w:val="3A4A28"/>
          <w:sz w:val="20"/>
        </w:rPr>
        <w:t>NIO Inc. designs, develops, manufactures, and sells smart electric vehicles in China, Europe, and internationally. Operates three brands: NIO (premium), ONVO (mass market), and Firefly (compact). Differentiated by battery-as-a-service (BaaS) battery swap network with 3,000+ stations, in-house autonomous driving chip development, and a direct-to-consumer user community model. Q2 2026 deliveries reached 107,658 vehicles (+49.4% YoY) with quarterly revenue guided to grow 72-81% YoY, building on back-to-back profitable quarters in Q4 2025 and Q1 2026. Headquartered in Shanghai, China.</w:t>
      </w:r>
    </w:p>
    <w:p>
      <w:r>
        <w:rPr>
          <w:rFonts w:ascii="Calibri" w:hAnsi="Calibri"/>
          <w:b/>
          <w:color w:val="6E8450"/>
          <w:sz w:val="18"/>
        </w:rPr>
        <w:t>35,032 Employees · https://www.nio.com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three-brand strategy continues to deliver — Q2 2026 deliveries hit 107,658 vehicles (+49.4% YoY), and full-year revenue growth is guided at 72.4%-81.2% YoY on the back of NIO, ONVO, and Firefly volume [1]. However, deliveries landed slightly below the 110,000-115,000 guidance range, and analysts flagged 'July deliveries lose momentum,' tempering the trajectory. AI Deployment (2/2): William Li's January 2026 internal speech committed to ramping AI investment company-wide, formalized through an AGI committee and a '4×100 relay baton' model integrating AI across R&amp;D, manufacturing, supply chain, finance, and HR — not just the vehicle's ADAS stack [2]. Market Share (1/2): NIO remains a modest player relative to BYD's multi-million unit scale, though its share within the premium EV segment is growing. Pipeline (1/2): The ES9 large SUV and a five-model large-SUV expansion are underway to lift ASP and margins. R&amp;D Intensity (1/1): R&amp;D spending remains above industry average for Chinese EV makers, funding in-house chip design and battery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NIO's 'User Enterprise' vision remains specific and continues to shape strategy through NIO House community centers and the battery swap network, though it has not been tested through a founder-to-successor transition [3]. Community Impact (1/2): The Clean Parks initiative and NIO's status as the first Chinese NEV company to join the Science Based Targets initiative (SBTi) continue, and NIO's ESG rating was upgraded by MSCI from A to AA in 2025, placing it in the top tier of the global auto industry [3]. Employee Retention (0/2): No quantified retention data is available, and NIO reshuffled its autonomous driving and AI teams in early 2026 after senior executive departures, signaling some organizational churn during a critical technology transition [2]. Insider Buying (1/2): William Li remains the founder-operator driving the company, though insider ownership stays minimal at roughly 0.001%.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TTM revenue growth of 48.8% and an estimated ~24.7% 4-year revenue CAGR both clear the 10% target, reflecting the multi-brand expansion [4]. However, D/E of 183% remains well above the 70% target (scoring roughly 0.51 of 1.0), and ROE of -83.96% and TTM profit margin of -9.09% both sit at or below the zero floor, scoring 0.0 despite the margin improving materially from -17.8% at the last screen [4]. Forward P/E of 228.7x is far above the 60x floor, scoring 0.0 — the market is pricing a profitability path that has not yet been demonstrated on a full-year basis. The liquidity floor is cleared comfortably at roughly $123M in average daily dollar volume ($4.52 price × 27.2M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NIO under William Li continues to exhibit genuine infinite-game instincts — the 'User Enterprise' vision, the capital-intensive battery swap network, and a willingness to run years of losses to build a differentiated ecosystem are all long-horizon bets. Two consecutive profitable quarters (Q4 2025, Q1 2026) and an all-in AI commitment strengthen the case, but the Q2 2026 delivery miss versus guidance and continued AI/autonomous-driving team reshuffling after executive departures show the finite-game pressure of capital markets and competitive urgency has not gone away.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'Building the first User Enterprise in the world' continues to shape concrete decisions — the NIO House network, battery swap infrastructure, and user advisory board all trace to this purpose [3]. William Li's continued hands-on leadership through the 2019 near-bankruptcy and into the current AI pivot reflects durable personal commitment, though the cause remains untested through any leadership succession.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NIO's user-centric culture and William Li's consistent core leadership persist, but the early-2026 reshuffle of autonomous driving and AI teams following senior executive departures signals real strain inside a 35,000-person organization mid-transition [2]. The AGI committee structure is new enough that its effect on cross-functional trust is unproven.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Li's explicit 'late-comer strategy' on robotics — deliberately letting competitors lead while NIO learns — and his framing of rivals as motivation rather than targets to destroy remains consistent with Sinek's worthy-rival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three-brand structure (NIO, ONVO, Firefly) and the pivot toward company-wide AI integration via the 4×100 model represent continued meaningful evolution, but the core identity remains EV manufacturing rather than a transformative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Continued investment in the battery swap network and the ES9/five-SUV expansion, sustained through a period where deliveries missed guidance, shows willingness to invest through short-term disappointment. The pressure to hold the 2026 profitability trajectory increasingly constrains how much further courage NIO's board and market backers will tolerate.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NIO's inflection narrative is gaining evidence: back-to-back profitable quarters (Q4 2025, Q1 2026), Q2 2026 deliveries of 107,658 vehicles (+49.4% YoY), and revenue guided to grow 72.4%-81.2% YoY reflect the three-brand strategy (NIO, ONVO, Firefly) translating into real volume [1]. William Li's company-wide AI commitment — an AGI committee and a formal '4×100' model spanning R&amp;D through HR — signals AI is treated as core infrastructure, not a bolt-on [2]. The 3,000+ station battery swap network remains a structural moat competitors cannot replicate quickly, and the ES9 large SUV launch targets higher ASP and margin mix through 2026.</w:t>
      </w:r>
    </w:p>
    <w:p>
      <w:pPr>
        <w:spacing w:after="120"/>
      </w:pPr>
      <w:r>
        <w:rPr>
          <w:rFonts w:ascii="Calibri" w:hAnsi="Calibri"/>
          <w:b w:val="0"/>
          <w:color w:val="3A4A28"/>
          <w:sz w:val="20"/>
        </w:rPr>
        <w:t>The bear case centers on unresolved capital intensity and execution risk. D/E of 183% and ROE of -83.96% reflect a balance sheet still absorbing over a decade of losses, and TTM profit margin of -9.09%, while improved from -17.8% at the last screen, confirms NIO has not yet crossed into sustained full-year profitability [4]. Q2 2026 deliveries landed below the 110,000-115,000 guided range, and the reshuffling of autonomous driving and AI teams after executive departures raises execution-continuity questions during the most AI-intensive period in the company's history [2]. Forward P/E of 228.7x prices in a profitability path well beyond what the trailing financials currently support, and BYD's scale advantage continues to compress industry-wide EV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non-GAAP operating profitability through the remainder of FY2026, converting the Q4 2025/Q1 2026 profitable-quarter pattern into a full-year trend management has targeted [1]</w:t>
      </w:r>
    </w:p>
    <w:p>
      <w:pPr>
        <w:spacing w:before="40" w:after="40"/>
        <w:ind w:left="283"/>
      </w:pPr>
      <w:r>
        <w:rPr>
          <w:rFonts w:ascii="Calibri" w:hAnsi="Calibri"/>
          <w:b/>
          <w:color w:val="4A6B25"/>
          <w:sz w:val="20"/>
        </w:rPr>
        <w:t xml:space="preserve">2. </w:t>
      </w:r>
      <w:r>
        <w:rPr>
          <w:rFonts w:ascii="Calibri" w:hAnsi="Calibri"/>
          <w:b w:val="0"/>
          <w:color w:val="3A4A28"/>
          <w:sz w:val="20"/>
        </w:rPr>
        <w:t>ES9 large SUV and broader five-model large-SUV rollout lifting average selling price and vehicle margin mix across the NIO brand</w:t>
      </w:r>
    </w:p>
    <w:p>
      <w:pPr>
        <w:spacing w:before="40" w:after="40"/>
        <w:ind w:left="283"/>
      </w:pPr>
      <w:r>
        <w:rPr>
          <w:rFonts w:ascii="Calibri" w:hAnsi="Calibri"/>
          <w:b/>
          <w:color w:val="4A6B25"/>
          <w:sz w:val="20"/>
        </w:rPr>
        <w:t xml:space="preserve">3. </w:t>
      </w:r>
      <w:r>
        <w:rPr>
          <w:rFonts w:ascii="Calibri" w:hAnsi="Calibri"/>
          <w:b w:val="0"/>
          <w:color w:val="3A4A28"/>
          <w:sz w:val="20"/>
        </w:rPr>
        <w:t>AI investment ramp under the AGI committee translating into measurable autonomous-driving subscription revenue and manufacturing efficiency gains through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deliveries missing the 110,000-115,000 guided range and analyst commentary on slowing July momentum could signal demand softness heading into H2 2026 [1]</w:t>
      </w:r>
    </w:p>
    <w:p>
      <w:pPr>
        <w:spacing w:before="40" w:after="40"/>
        <w:ind w:left="283"/>
      </w:pPr>
      <w:r>
        <w:rPr>
          <w:rFonts w:ascii="Calibri" w:hAnsi="Calibri"/>
          <w:b/>
          <w:color w:val="4A6B25"/>
          <w:sz w:val="20"/>
        </w:rPr>
        <w:t xml:space="preserve">2. </w:t>
      </w:r>
      <w:r>
        <w:rPr>
          <w:rFonts w:ascii="Calibri" w:hAnsi="Calibri"/>
          <w:b w:val="0"/>
          <w:color w:val="3A4A28"/>
          <w:sz w:val="20"/>
        </w:rPr>
        <w:t>Persistent balance sheet stress — D/E of 183% and ROE of -83.96% — leaves limited room for error if the 2026 profitability trajectory stalls, raising renewed capital-raise and dilution risk</w:t>
      </w:r>
    </w:p>
    <w:p>
      <w:pPr>
        <w:spacing w:before="40" w:after="40"/>
        <w:ind w:left="283"/>
      </w:pPr>
      <w:r>
        <w:rPr>
          <w:rFonts w:ascii="Calibri" w:hAnsi="Calibri"/>
          <w:b/>
          <w:color w:val="4A6B25"/>
          <w:sz w:val="20"/>
        </w:rPr>
        <w:t xml:space="preserve">3. </w:t>
      </w:r>
      <w:r>
        <w:rPr>
          <w:rFonts w:ascii="Calibri" w:hAnsi="Calibri"/>
          <w:b w:val="0"/>
          <w:color w:val="3A4A28"/>
          <w:sz w:val="20"/>
        </w:rPr>
        <w:t>Autonomous driving and AI team turnover after senior executive departures introduces execution risk at the exact moment NIO is betting its differentiation on AI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NIO's physical vehicle manufacturing, supply chain, and service network provide partial insulation from AI substitution, but autonomous driving — the domain where NIO competes hardest — is itself AI-native, meaning Tesla FSD, Huawei, and XPeng's AI advances can erode NIO's software differentiation faster than its hardware moat can compensate [2]. The AGI committee and 4×100 model show NIO treating AI as existential rather than optional, which mitigates but does not eliminate the risk. AI Opportunity (1/1): NIO monetizes AI through autonomous driving subscriptions, in-house ADAS chips, and AI-integrated smart cockpits, and William Li's 2026 AI investment ramp is explicitly framed as a revenue and efficiency driver across the whole business, not a cost center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NIO Q2 2026 delivery results (107,658 vehicles, +49.4% YoY) and revenue guidance (RMB32.78B-34.44B, +72.4% to 81.2% YoY) — TipRanks, StockTitan, The Globe and Mail, August 2026</w:t>
      </w:r>
    </w:p>
    <w:p>
      <w:pPr>
        <w:spacing w:before="20" w:after="20"/>
        <w:ind w:left="170"/>
      </w:pPr>
      <w:r>
        <w:rPr>
          <w:rFonts w:ascii="Calibri" w:hAnsi="Calibri"/>
          <w:b/>
          <w:color w:val="4A6B25"/>
          <w:sz w:val="15"/>
        </w:rPr>
        <w:t xml:space="preserve">2. </w:t>
      </w:r>
      <w:r>
        <w:rPr>
          <w:rFonts w:ascii="Calibri" w:hAnsi="Calibri"/>
          <w:b w:val="0"/>
          <w:color w:val="3A4A28"/>
          <w:sz w:val="17"/>
        </w:rPr>
        <w:t>NIO CEO William Li internal AI speech and AGI committee formation; autonomous driving/AI team reshuffle — CnEVPost, January 2026</w:t>
      </w:r>
    </w:p>
    <w:p>
      <w:pPr>
        <w:spacing w:before="20" w:after="20"/>
        <w:ind w:left="170"/>
      </w:pPr>
      <w:r>
        <w:rPr>
          <w:rFonts w:ascii="Calibri" w:hAnsi="Calibri"/>
          <w:b/>
          <w:color w:val="4A6B25"/>
          <w:sz w:val="15"/>
        </w:rPr>
        <w:t xml:space="preserve">3. </w:t>
      </w:r>
      <w:r>
        <w:rPr>
          <w:rFonts w:ascii="Calibri" w:hAnsi="Calibri"/>
          <w:b w:val="0"/>
          <w:color w:val="3A4A28"/>
          <w:sz w:val="17"/>
        </w:rPr>
        <w:t>NIO ESG Report 2025 and MSCI AA rating upgrade — nio.com/esg, CleanTechnica,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NIO Key Statistics, Financial Ratios,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