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NMRK</w:t>
      </w:r>
      <w:r>
        <w:rPr>
          <w:rFonts w:ascii="Calibri" w:hAnsi="Calibri"/>
          <w:b/>
          <w:color w:val="1A2010"/>
          <w:sz w:val="40"/>
        </w:rPr>
        <w:t xml:space="preserve">  Newmark Group, Inc.</w:t>
      </w:r>
    </w:p>
    <w:p>
      <w:pPr>
        <w:spacing w:after="120"/>
      </w:pPr>
      <w:r>
        <w:rPr>
          <w:rFonts w:ascii="Calibri" w:hAnsi="Calibri"/>
          <w:b/>
          <w:color w:val="6E8450"/>
          <w:sz w:val="18"/>
        </w:rPr>
        <w:t>GROWTH SLEEVE · 2026-07-28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Newmark Group is a commercial real estate advisory and services firm offering capital markets, leasing, property management, valuation, and consulting services globally. The company provides investment sales, commercial mortgage brokerage (including GSE/FHA lending), debt placement, and management services across office, industrial, retail, and multifamily asset classes. Operates from more than 185 offices with over 9,600 professionals across four continents.</w:t>
      </w:r>
    </w:p>
    <w:p>
      <w:r>
        <w:rPr>
          <w:rFonts w:ascii="Calibri" w:hAnsi="Calibri"/>
          <w:b/>
          <w:color w:val="6E8450"/>
          <w:sz w:val="18"/>
        </w:rPr>
        <w:t>9,600 Employees · https://www.nmrk.com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Newmark delivered Q1 2026 record revenue of $846.5M, up 27% YoY, marking the seventh consecutive quarter of double-digit revenue growth and eighth for earnings improvement [1]. Revenue has grown from $2.47B (2023) to TTM of $3.4B+ through aggressive talent recruitment and CRE market recovery, successfully expanding capital markets revenue (up 45.5% in Q1) and management services (up 21.2%) [1]. AI Deployment (1/2): Newmark appointed Kyle Lutnick as Chief Strategy Officer in May 2026 to lead firmwide initiatives across data, AI, technology, and strategic account growth, formalizing a centralized leadership position for technology transformation [2]. CEO Gosin referenced technology investments for broker productivity and operational efficiency. However, no AI products are shipping and no quantified AI-driven cost savings have been reported. Market Share (1/2): Newmark is a meaningful and growing player in U.S. commercial real estate services, gaining share through aggressive recruiting of top-producing brokers from CBRE, JLL, and Cushman &amp; Wakefield, though it trails these larger competitors in total scale [1]. Product Pipeline (1/2): Raised 2026 guidance to revenue of $3.775B-$3.875B (up 15-18% YoY) with adjusted EBITDA of $656M-$694M and adjusted EPS of $1.87-$1.98, providing solid near-term visibility with capital markets growth expected above midpoint [1]. R&amp;D Intensity (0/1): As a services firm, Newmark's technology spending is below technology-focused peers; innovation is primarily through talent acquisition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Newmark positions itself as a trusted advisor delivering innovative solutions for commercial real estate clients — a clear but not distinctive purpose that could describe any CRE services firm [3]. The mission lacks the depth or transformative ambition that would differentiate it from CBRE, JLL, or Cushman &amp; Wakefield. Community Impact (1/2): Newmark achieved carbon neutrality in business operations in 2023 and committed to becoming carbon negative by 2030, publishing ESG/Corporate Responsibility reports with sustainability programs [3]. However, community impact is limited relative to the firm's scale. Employee Retention (0/2): Glassdoor rating of 3.5/5 (declining YoY) with only 59% recommending to a friend suggests below-average employee satisfaction; reviews cite poor and unprofessional leadership and unclear role structures [2]. The brokerage 'eat-what-you-kill' culture creates high turnover among non-top-producing employees. Insider Buying (1/2): Neutral — Howard Lutnick's divestiture of all Newmark holdings in October 2025 was mandated by government ethics rules upon his appointment as U.S. Commerce Secretary, not a lack of conviction [4]. Newmark repurchased approximately 11M shares from Lutnick. No significant net insider buying by other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including the newly available PEG ratio. Q1 2026 revenue of $846.5M grew 27% YoY to record levels, beating estimates by 14%, with FY2025 revenue of $3.29B up 20.3% and net income doubling to $126.2M [1]. Forward PEG of 0.55 is exceptionally attractive, indicating the market significantly undervalues Newmark's growth trajectory relative to earnings expansion (2x weight metric scoring 1.0) [5]. Forward P/E of ~8.3 (based on adjusted EPS midpoint guidance of $1.93) is well below the 20 target. D/E of 120% is above the 70% target but manageable for a capital-light services firm. ROE of 9.45% is below the 15% target at 2x weight. Profit margin of 3.83% is structurally thin for a brokerage model, scoring 0.19. Revenue growth 5yr CAGR of 6.8% scores 0.79 at 2x weight. Liquidity easily cleared: ~1.7M avg volume x $16 = $27.2M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Newmark operates primarily as a financially-driven brokerage competing on talent acquisition and market share rather than advancing a deeper purpose. CEO Barry Gosin's extraordinary 47-year tenure provides rare leadership stability, and the company has demonstrated countercyclical hiring discipline. However, the growth strategy of recruiting top brokers from competitors and leveraging the CRE cycle is effective but fundamentally finite in orientation. The Howard Lutnick governance controversy and Kyle Lutnick appointment as CSO raise nepotism concerns.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Newmark articulates a general purpose around delivering trusted advisory services and innovative solutions for commercial real estate, but this is interchangeable with any CRE peer [3]. The company's competitive language focuses on market share gains, hiring top producers from rivals, and transaction volume records — hallmarks of a finite competitive mindset. No evidence of a deeper purpose that transcends industry competition or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Barry Gosin's 47-year tenure as Principal Executive Officer provides leadership continuity rarely seen in any industry [2]. The smooth governance transition when Howard Lutnick departed for the Commerce Secretary role — with Merkel as Board Chair and Gosin as principal executive — demonstrated organizational resilience. However, Glassdoor reviews (3.5/5, declining) cite poor leadership, unclear structure, and frequent reporting changes, suggesting trust issues below the senior executive level. The brokerage model creates internal competition that can undermine team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Newmark's competitive strategy is explicitly focused on recruiting top producers away from CBRE, JLL, and Cushman &amp; Wakefield — a talent-poaching approach that frames competition as a war for market share rather than motivation for self-improvement [1]. Management commentary emphasizes record revenue, market share gains, and beating analyst estimates rather than learning from competitors' strengths. This is quintessentially finite competitive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Newmark has expanded from a traditional brokerage into capital markets (up 45.5% in Q1 2026), management/servicing, and multifamily lending, diversifying revenue streams beyond pure leasing [1]. The company's separation from BGC Group in 2018 and subsequent build-out of the capital markets platform demonstrate meaningful business model evolution. The appointment of Kyle Lutnick as CSO for AI and technology transformation represents the next phase of evolution. However, these are incremental extensions within CRE services,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Newmark's aggressive hiring of top producers during the CRE downturn of 2022-2023, investing in talent when competitors were cutting costs, demonstrates willingness to sacrifice short-term margins for long-term market positioning [1]. The FY2026 raised guidance ($3.775B-$3.875B revenue, $656M-$694M EBITDA) validates this countercyclical investment. However, the CRE market recovery provides favorable tailwinds that reduce the perceived risk of these bets. The appointment of the founder's son (Kyle Lutnick) as CSO raises questions about meritocracy versus nepotism.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Newmark Group is delivering accelerating growth in a recovering CRE market, with Q1 2026 record revenue of $846.5M (up 27% YoY) marking seven consecutive quarters of double-digit growth and net income improvements [1]. The raised 2026 guidance of $3.775B-$3.875B revenue (up 15-18%) with adjusted EBITDA of $656M-$694M demonstrates strong operational leverage as CRE transaction volumes normalize. At a forward PEG of 0.55 and forward P/E of ~8.3x, NMRK trades at a steep discount to peers CBRE (~22x) and JLL (~18x), creating significant re-rating potential if growth and margin expansion prove durable [5]. CEO Gosin's 47-year tenure provides rare leadership stability, and the appointment of Kyle Lutnick as CSO for data, AI, and technology transformation positions the firm for technology-enabled competitive advantage [2].</w:t>
      </w:r>
    </w:p>
    <w:p>
      <w:pPr>
        <w:spacing w:after="120"/>
      </w:pPr>
      <w:r>
        <w:rPr>
          <w:rFonts w:ascii="Calibri" w:hAnsi="Calibri"/>
          <w:b w:val="0"/>
          <w:color w:val="3A4A28"/>
          <w:sz w:val="20"/>
        </w:rPr>
        <w:t>The bear case centers on cyclical sensitivity, governance concerns, and structural margin constraints. Profit margins of 3.83% are razor-thin, and the brokerage model's heavy reliance on top-producer compensation creates structural margin compression as the firm scales — revenue can grow 27% while net income remains modest at $19.6M quarterly [1][5]. The Howard Lutnick governance saga — divesting $80M+ in Newmark stock during 8 months as Commerce Secretary before completing divestiture in October 2025, while the company brokered ICE warehouse deals — prompted a Congressional investigation by 54 Democrats in March 2026 [4]. Kyle Lutnick's appointment as CSO raises nepotism questions. D/E of 120% limits flexibility in a potential CRE downturn, and Newmark's own research projects AI will constrain office-using employment growth to +0.3% through 2030, creating secular headwinds for office leasing advisory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 market recovery acceleration — raised 2026 guidance to $3.775B-$3.875B revenue with capital markets growth expected above midpoint as transaction volumes normalize post-rate-cut cycle [1]</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potential — forward PEG of 0.55 and P/E of ~8.3x vs. CBRE at ~22x implies significant multiple expansion opportunity if growth and margins prove durable [5]</w:t>
      </w:r>
    </w:p>
    <w:p>
      <w:pPr>
        <w:spacing w:before="40" w:after="40"/>
        <w:ind w:left="283"/>
      </w:pPr>
      <w:r>
        <w:rPr>
          <w:rFonts w:ascii="Calibri" w:hAnsi="Calibri"/>
          <w:b/>
          <w:color w:val="4A6B25"/>
          <w:sz w:val="20"/>
        </w:rPr>
        <w:t xml:space="preserve">3. </w:t>
      </w:r>
      <w:r>
        <w:rPr>
          <w:rFonts w:ascii="Calibri" w:hAnsi="Calibri"/>
          <w:b w:val="0"/>
          <w:color w:val="3A4A28"/>
          <w:sz w:val="20"/>
        </w:rPr>
        <w:t>AI and technology transformation under new CSO Kyle Lutnick, with firmwide initiatives across data infrastructure, AI deployment, and platform development to enhance broker productivity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sensitivity — CRE services revenue is correlated with transaction volumes and interest rates, and razor-thin 3.83% profit margins amplify downside; a recession would compress revenues and eliminate profits simultaneously [5]</w:t>
      </w:r>
    </w:p>
    <w:p>
      <w:pPr>
        <w:spacing w:before="40" w:after="40"/>
        <w:ind w:left="283"/>
      </w:pPr>
      <w:r>
        <w:rPr>
          <w:rFonts w:ascii="Calibri" w:hAnsi="Calibri"/>
          <w:b/>
          <w:color w:val="4A6B25"/>
          <w:sz w:val="20"/>
        </w:rPr>
        <w:t xml:space="preserve">2. </w:t>
      </w:r>
      <w:r>
        <w:rPr>
          <w:rFonts w:ascii="Calibri" w:hAnsi="Calibri"/>
          <w:b w:val="0"/>
          <w:color w:val="3A4A28"/>
          <w:sz w:val="20"/>
        </w:rPr>
        <w:t>Governance controversy — Congressional investigation into ICE warehouse brokerage during Lutnick's Commerce Secretary tenure, plus Kyle Lutnick's CSO appointment raises nepotism concerns that could deter institutional investors [4]</w:t>
      </w:r>
    </w:p>
    <w:p>
      <w:pPr>
        <w:spacing w:before="40" w:after="40"/>
        <w:ind w:left="283"/>
      </w:pPr>
      <w:r>
        <w:rPr>
          <w:rFonts w:ascii="Calibri" w:hAnsi="Calibri"/>
          <w:b/>
          <w:color w:val="4A6B25"/>
          <w:sz w:val="20"/>
        </w:rPr>
        <w:t xml:space="preserve">3. </w:t>
      </w:r>
      <w:r>
        <w:rPr>
          <w:rFonts w:ascii="Calibri" w:hAnsi="Calibri"/>
          <w:b w:val="0"/>
          <w:color w:val="3A4A28"/>
          <w:sz w:val="20"/>
        </w:rPr>
        <w:t>Structural margin pressure — brokerage compensation model and top-producer guaranteed packages limit profit margin expansion; Q1 2026 net income of $19.6M on $846.5M revenue (2.3% margin) illustrates the constraint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real estate brokerage relies heavily on relationship-driven deal origination, market knowledge, negotiation skills, and client trust that AI cannot replicate [2]. Investment sales, capital markets advisory, and property management involve physical-world operations with regulatory complexity and human judgment requirements. However, AI tools are increasingly capable of automating valuation analysis, market research, lease abstracting, financial modeling, and property matching — meaningful support functions within the CRE services value chain. Newmark's own research projects AI will act as a headwind to office-using employment growth through 2030, which could compress the very office demand that drives CRE advisory revenue [2]. The appointment of Kyle Lutnick as CSO for AI signals management recognizes both the opportunity and the threat. AI Opportunity (0/1): While Newmark has appointed an AI-focused CSO and CEO Gosin references technology investment, no quantifiable AI revenue has been disclosed. The company's AI initiatives are strategic and internal rather than revenue-generating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Newmark Group Q1 2026 Earnings Release — record revenue $846.5M (up 27% YoY), adjusted EPS $0.33 (up 57%), raised 2026 guidance to $3.775B-$3.875B revenue, April 2026</w:t>
      </w:r>
    </w:p>
    <w:p>
      <w:pPr>
        <w:spacing w:before="20" w:after="20"/>
        <w:ind w:left="170"/>
      </w:pPr>
      <w:r>
        <w:rPr>
          <w:rFonts w:ascii="Calibri" w:hAnsi="Calibri"/>
          <w:b/>
          <w:color w:val="4A6B25"/>
          <w:sz w:val="15"/>
        </w:rPr>
        <w:t xml:space="preserve">2. </w:t>
      </w:r>
      <w:r>
        <w:rPr>
          <w:rFonts w:ascii="Calibri" w:hAnsi="Calibri"/>
          <w:b w:val="0"/>
          <w:color w:val="3A4A28"/>
          <w:sz w:val="17"/>
        </w:rPr>
        <w:t>Newmark Group AI and Technology Strategy — Kyle Lutnick CSO appointment, CEO Gosin technology investment commentary, AI impact on office demand research, May 2026</w:t>
      </w:r>
    </w:p>
    <w:p>
      <w:pPr>
        <w:spacing w:before="20" w:after="20"/>
        <w:ind w:left="170"/>
      </w:pPr>
      <w:r>
        <w:rPr>
          <w:rFonts w:ascii="Calibri" w:hAnsi="Calibri"/>
          <w:b/>
          <w:color w:val="4A6B25"/>
          <w:sz w:val="15"/>
        </w:rPr>
        <w:t xml:space="preserve">3. </w:t>
      </w:r>
      <w:r>
        <w:rPr>
          <w:rFonts w:ascii="Calibri" w:hAnsi="Calibri"/>
          <w:b w:val="0"/>
          <w:color w:val="3A4A28"/>
          <w:sz w:val="17"/>
        </w:rPr>
        <w:t>Newmark Group ESG/Corporate Responsibility Report and corporate website — carbon neutrality commitment, sustainability programs,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SEC EDGAR and Congressional Investigation — Howard Lutnick Commerce Secretary divestiture, ICE warehouse brokerage controversy, Rep. Raskin/Sen. Warren investigation letter,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NMRK Key Statistics: P/E 5.47, PEG 0.55, Market Cap $2.72B,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