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w:t>
      </w:r>
      <w:r>
        <w:rPr>
          <w:rFonts w:ascii="Calibri" w:hAnsi="Calibri"/>
          <w:b/>
          <w:color w:val="1A2010"/>
          <w:sz w:val="40"/>
        </w:rPr>
        <w:t xml:space="preserve">  Nomura Holdings, Inc.</w:t>
      </w:r>
    </w:p>
    <w:p>
      <w:pPr>
        <w:spacing w:after="120"/>
      </w:pPr>
      <w:r>
        <w:rPr>
          <w:rFonts w:ascii="Calibri" w:hAnsi="Calibri"/>
          <w:b/>
          <w:color w:val="6E8450"/>
          <w:sz w:val="18"/>
        </w:rPr>
        <w:t>GROWTH SLEEVE · 2026-07-25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Japan</w:t>
      </w:r>
    </w:p>
    <w:p>
      <w:pPr>
        <w:spacing w:after="80"/>
      </w:pPr>
      <w:r>
        <w:rPr>
          <w:rFonts w:ascii="Calibri" w:hAnsi="Calibri"/>
          <w:b w:val="0"/>
          <w:color w:val="3A4A28"/>
          <w:sz w:val="20"/>
        </w:rPr>
        <w:t>Nomura Holdings is Japan's largest investment bank and securities firm, providing wealth management, investment management, and wholesale services (sales &amp; trading, investment banking, advisory) globally. Founded in 1925, the company operates across Japan, the Americas, Europe, and Asia-Pacific with a significant presence in fixed income, equities, and M&amp;A advisory.</w:t>
      </w:r>
    </w:p>
    <w:p>
      <w:r>
        <w:rPr>
          <w:rFonts w:ascii="Calibri" w:hAnsi="Calibri"/>
          <w:b/>
          <w:color w:val="6E8450"/>
          <w:sz w:val="18"/>
        </w:rPr>
        <w:t>27,242 Employees · https://www.nomuraholdings.com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Nomura delivered back-to-back record years with FY2026 net revenue of ¥2,167.7B (up 15% YoY) and record net income of ¥362.1B (up 6%), achieving its 2030 Vision ROE target of 10.1% [1]. However, these results reflect strong market conditions and execution within the same securities/advisory model the firm has operated for decades — no transformative product launches or business model pivots. AI Deployment (0/2): Nomura's chief data office is focused on 'getting data ready for AI' under Ling Ling Lo's leadership, emphasizing foundational data governance as a prerequisite for AI innovation [2]. No AI-powered products are shipping to clients and no quantified AI-driven cost savings have been reported. Market Share (2/2): Nomura maintains dominant market share in Japan across equities, fixed income, investment banking, and government bond trading — the undisputed #1 Japanese securities firm with leading positions in domestic IPO underwriting and JGB trading [1]. Pipeline (0/2): No specific next-generation products or strategic initiatives announced with named timelines beyond general '2030 Vision' targets. Product pipeline visibility is minimal for a firm of this scale. R&amp;D Intensity (1/1): Technology infrastructure investment and talent development programs targeting 'specialized talent capable of advancing new initiatives' represent industry-average spending for a major investment bank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Nomura's stated vision is 'Connecting Markets East &amp; West' with a desired future state of being 'a team of professionals who continuously take on the challenge of creating new value' [2]. Clear and identifies a niche bridging Asian and Western capital markets, but not deeply distinctive or transformative — it describes a function rather than a cause. Community Impact (1/2): Nomura Foundation supports education and cultural programs across Asia; the company has standard corporate philanthropy programs but they lack distinctive scale or impact relative to its ¥2.2T revenue base [3]. Employee Retention (0/2): Nomura has introduced a leadership behavior model and is optimizing its 'human capital management cycle' for recruitment, talent development, and mobility [2]. However, no evidence of above-average retention metrics, and recurring governance scandals (2012 insider trading, 2024 bond manipulation) suggest systemic cultural issues that undermine trust [4]. Insider Buying (1/2): Nomura declared an ordinary dividend of ¥24/share for FY2026 (up from previous year) and the ¥60B share buyback program signals management confidence, though this is corporate capital allocation rather than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Nomura's financial profile is strong when viewed through the growth scoring lens with key caveats. Revenue grew from ¥1,363.9B in FY2022 to ¥2,167.7B in FY2026, a 12.3% 4-year CAGR, with FY2026 YoY revenue growth of 14.5% exceeding the 10% target [1][5]. Forward P/E of 12.23x is well below the 20x target, providing excellent valuation. Profit margin of 16.71% is approaching but below the 20% target [5]. ROE of 10.07% is below the 15% target but strong for a diversified financial institution. D/E of 984% is structural for a financial services firm that uses leverage as its business model and scores mechanically at 0 on this metric [5]. PEG of 2.08 scores 0.46 on the growth scale, significantly worse than the prior screen's 0.81 PEG, as earnings growth has normalized after the rapid recovery from FY2023 lows. Liquidity floor easily cleared: 1.05M avg volume × $9.81 = $10.3M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Nomura's 101-year institutional history demonstrates survival, but the company's rigid hierarchical culture, recurring governance scandals (2012 insider trading, 2024 bond manipulation), and quarterly-focused financial targets reveal finite game tendencies. The firm persists through institutional inertia and market position rather than by pursuing an inspiring cause that attracts sacrifice and long-term commitment.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Nomura's vision of 'Connecting Markets East &amp; West' identifies a genuine functional role but lacks the aspirational quality of a Just Cause — it describes what the firm does, not a vision of a better future worth pursuing [2]. The company exists to facilitate capital flows and generate returns. The 2030 Vision focuses on quantitative ROE targets rather than a purpose that inspires sacrifice. Sinek would see a company that has persisted through institutional resilience rather than cause-driven purpose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 has introduced a leadership behavior model and human capital management cycle aimed at improving organizational culture [2]. However, the 2024 bond derivatives manipulation scandal — where systemic compliance failures led at least 10 major Japanese financial institutions to temporarily halt business — and the 2012 insider trading scandal that forced CEO resignation reveal a pattern of low trust spanning decades [4]. The ESG Risk Management Policy framework is robust on paper (MSCI AA rating), but recurring internal control failures suggest psychological safety is insufficient to prevent misconduct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Nomura's competitive positioning acknowledges the strengths of global rivals — Goldman Sachs, Morgan Stanley, JPMorgan — and uses their dominance in Western markets as motivation to strengthen its East-West bridging capability [2]. The firm's strategy of deepening Asian capital markets expertise rather than trying to out-compete global bulge brackets in their home markets shows an infinite competitive mindset focused on improving its own distinctive value proposition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Nomura's 2008 acquisition of Lehman Brothers' Asian and European operations during the financial crisis was a transformative but troubled pivot that took over a decade to fully integrate [4]. The firm has evolved from a domestic Japanese brokerage to a global investment bank, and more recently rebalanced toward wealth management and investment management alongside the traditional wholesale business. These shifts were meaningful but incremental rather than cause-driven transformations driven by purpose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2008 Lehman Brothers acquisition during the financial crisis — when most firms were retrenching — showed genuine courage and long-term vision, even though execution was rocky [4]. FY2026 results showed management sustaining investment in global expansion through market volatility, achieving record performance. However, the pattern of scandal-response-reform-repeat (2012, 2024) suggests leadership courage on compliance and culture remains insufficient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Nomura delivered back-to-back record years with FY2026 net revenue of ¥2,167.7B (up 15% YoY), net income of ¥362.1B (up 6%), and ROE of 10.1% — achieving its 2030 Vision quantitative target four years early [1]. At 12.23x forward P/E and 12.54x trailing P/E, the ADR trades at a significant discount to Western peers (Goldman Sachs ~14x, Morgan Stanley ~15x) despite comparable revenue growth rates. The 2.63% dividend yield with 34.5% payout ratio provides attractive income, while Japan's structural tailwinds — NISA retail investment account expansion, corporate governance reform, and Tokyo Stock Exchange reforms — support both the domestic wealth management franchise and cross-border M&amp;A advisory [1][5].</w:t>
      </w:r>
    </w:p>
    <w:p>
      <w:pPr>
        <w:spacing w:after="120"/>
      </w:pPr>
      <w:r>
        <w:rPr>
          <w:rFonts w:ascii="Calibri" w:hAnsi="Calibri"/>
          <w:b w:val="0"/>
          <w:color w:val="3A4A28"/>
          <w:sz w:val="20"/>
        </w:rPr>
        <w:t>The bear case centers on recurring governance failures and structural challenges that cap valuation multiples. The 2024 bond manipulation scandal led major financial institutions to halt business with Nomura, and the pattern of scandal-reform-repeat (2012, 2024) suggests systemic compliance culture issues that justify the valuation discount to Western peers [4]. PEG of 2.08 indicates the stock is expensive relative to normalized earnings growth after the FY2023-FY2026 recovery surge. D/E of 984% reflects structural leverage inherent to investment banking but creates vulnerability during market dislocations. Q4 FY2026 showed momentum softening — income before taxes fell 20% QoQ despite revenue growth — suggesting the record-setting pace may be peaking [1]. Currency risk (ADR denominated in USD, earnings in JPY) adds volatility for US-based investors, and the low beta of 0.59 reflects the ADR's limited correlation with US equity markets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Japan's structural capital markets reform — NISA retail account expansion and corporate governance improvements driving domestic wealth management and equity trading volumes, validating Nomura's dominant market position [1]</w:t>
      </w:r>
    </w:p>
    <w:p>
      <w:pPr>
        <w:spacing w:before="40" w:after="40"/>
        <w:ind w:left="283"/>
      </w:pPr>
      <w:r>
        <w:rPr>
          <w:rFonts w:ascii="Calibri" w:hAnsi="Calibri"/>
          <w:b/>
          <w:color w:val="4A6B25"/>
          <w:sz w:val="20"/>
        </w:rPr>
        <w:t xml:space="preserve">2. </w:t>
      </w:r>
      <w:r>
        <w:rPr>
          <w:rFonts w:ascii="Calibri" w:hAnsi="Calibri"/>
          <w:b w:val="0"/>
          <w:color w:val="3A4A28"/>
          <w:sz w:val="20"/>
        </w:rPr>
        <w:t>Cross-border M&amp;A acceleration as Japanese companies pursue overseas acquisitions at record pace and foreign capital flows into Japan's reformed equity markets, leveraging Nomura's East-West positioning [1]</w:t>
      </w:r>
    </w:p>
    <w:p>
      <w:pPr>
        <w:spacing w:before="40" w:after="40"/>
        <w:ind w:left="283"/>
      </w:pPr>
      <w:r>
        <w:rPr>
          <w:rFonts w:ascii="Calibri" w:hAnsi="Calibri"/>
          <w:b/>
          <w:color w:val="4A6B25"/>
          <w:sz w:val="20"/>
        </w:rPr>
        <w:t xml:space="preserve">3. </w:t>
      </w:r>
      <w:r>
        <w:rPr>
          <w:rFonts w:ascii="Calibri" w:hAnsi="Calibri"/>
          <w:b w:val="0"/>
          <w:color w:val="3A4A28"/>
          <w:sz w:val="20"/>
        </w:rPr>
        <w:t>2030 Vision ROE target of 10%+ already achieved at 10.1%, providing credibility for sustained profitability targets and potential for increased capital returns including dividend growth and additional buybacks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governance and compliance failures — 2024 bond manipulation followed 2012 insider trading, indicating systemic cultural issues that cap valuation multiples and risk further client defections and regulatory penalties [4]</w:t>
      </w:r>
    </w:p>
    <w:p>
      <w:pPr>
        <w:spacing w:before="40" w:after="40"/>
        <w:ind w:left="283"/>
      </w:pPr>
      <w:r>
        <w:rPr>
          <w:rFonts w:ascii="Calibri" w:hAnsi="Calibri"/>
          <w:b/>
          <w:color w:val="4A6B25"/>
          <w:sz w:val="20"/>
        </w:rPr>
        <w:t xml:space="preserve">2. </w:t>
      </w:r>
      <w:r>
        <w:rPr>
          <w:rFonts w:ascii="Calibri" w:hAnsi="Calibri"/>
          <w:b w:val="0"/>
          <w:color w:val="3A4A28"/>
          <w:sz w:val="20"/>
        </w:rPr>
        <w:t>Earnings momentum peaking — Q4 FY2026 income before taxes fell 20% QoQ despite revenue growth, and PEG of 2.08 suggests limited upside relative to normalized growth rates [1][5]</w:t>
      </w:r>
    </w:p>
    <w:p>
      <w:pPr>
        <w:spacing w:before="40" w:after="40"/>
        <w:ind w:left="283"/>
      </w:pPr>
      <w:r>
        <w:rPr>
          <w:rFonts w:ascii="Calibri" w:hAnsi="Calibri"/>
          <w:b/>
          <w:color w:val="4A6B25"/>
          <w:sz w:val="20"/>
        </w:rPr>
        <w:t xml:space="preserve">3. </w:t>
      </w:r>
      <w:r>
        <w:rPr>
          <w:rFonts w:ascii="Calibri" w:hAnsi="Calibri"/>
          <w:b w:val="0"/>
          <w:color w:val="3A4A28"/>
          <w:sz w:val="20"/>
        </w:rPr>
        <w:t>Currency and geopolitical exposure — JPY/USD fluctuation impacts ADR returns, while US-Japan-China trade tensions and potential global M&amp;A slowdown could compress wholesale earnings significantly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Nomura's core business — securities trading, investment banking advisory, and wealth management — faces moderate AI disruption risk. Algorithmic and AI-driven trading already accounts for a significant portion of equity and fixed income markets, putting structural pressure on traditional sales &amp; trading desks [1]. Wealth management advisory faces growing substitution risk from robo-advisors and AI-powered financial planning tools. However, complex M&amp;A advisory, underwriting relationships, and institutional client coverage require human judgment, relationship capital, and regulatory expertise that AI cannot fully replicate. Nomura's deep Japanese institutional relationships and dominant government bond market access provide structural moats that AI cannot easily displace. AI Opportunity (0/1): Despite Ling Ling Lo's data readiness initiative, no evidence of AI-generated revenue or AI-powered client-facing products [2]. The firm is in a pre-deployment 'data governance' phase rather than generating measurable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Nomura Holdings FY2026 Full Year Results — Record net revenue ¥2,167.7B (up 15%), record net income ¥362.1B (up 6%), ROE 10.1%, dividend ¥51/share, Q4 income before taxes down 20% QoQ, May 2026</w:t>
      </w:r>
    </w:p>
    <w:p>
      <w:pPr>
        <w:spacing w:before="20" w:after="20"/>
        <w:ind w:left="170"/>
      </w:pPr>
      <w:r>
        <w:rPr>
          <w:rFonts w:ascii="Calibri" w:hAnsi="Calibri"/>
          <w:b/>
          <w:color w:val="4A6B25"/>
          <w:sz w:val="15"/>
        </w:rPr>
        <w:t xml:space="preserve">2. </w:t>
      </w:r>
      <w:r>
        <w:rPr>
          <w:rFonts w:ascii="Calibri" w:hAnsi="Calibri"/>
          <w:b w:val="0"/>
          <w:color w:val="3A4A28"/>
          <w:sz w:val="17"/>
        </w:rPr>
        <w:t>Nomura Holdings Corporate Website and Strategy — Vision 'Connecting Markets East &amp; West', human capital management cycle, AI data readiness initiative under Ling Ling Lo, 2030 Vision targets,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Nomura Holdings ESG and Sustainability — MSCI AA ESG rating, Refinitiv 88/100, ESG Risk Management Policy, sustainability-related regulatory compliance, 2026</w:t>
      </w:r>
    </w:p>
    <w:p>
      <w:pPr>
        <w:spacing w:before="20" w:after="20"/>
        <w:ind w:left="170"/>
      </w:pPr>
      <w:r>
        <w:rPr>
          <w:rFonts w:ascii="Calibri" w:hAnsi="Calibri"/>
          <w:b/>
          <w:color w:val="4A6B25"/>
          <w:sz w:val="15"/>
        </w:rPr>
        <w:t xml:space="preserve">4. </w:t>
      </w:r>
      <w:r>
        <w:rPr>
          <w:rFonts w:ascii="Calibri" w:hAnsi="Calibri"/>
          <w:b w:val="0"/>
          <w:color w:val="3A4A28"/>
          <w:sz w:val="17"/>
        </w:rPr>
        <w:t>Nomura Holdings Governance History — 2024 bond derivatives manipulation scandal, 2012 insider trading scandal, client business halts, Bloomberg/Japan Times,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NMR financial data, stock price $9.81, P/E 12.54, forward P/E 12.23, ROE 10.07%, avg volume 1.05M,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