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NOG</w:t>
      </w:r>
      <w:r>
        <w:rPr>
          <w:rFonts w:ascii="Calibri" w:hAnsi="Calibri"/>
          <w:b/>
          <w:color w:val="1A2010"/>
          <w:sz w:val="40"/>
        </w:rPr>
        <w:t xml:space="preserve">  Northern Oil and Gas, Inc.</w:t>
      </w:r>
    </w:p>
    <w:p>
      <w:pPr>
        <w:spacing w:after="120"/>
      </w:pPr>
      <w:r>
        <w:rPr>
          <w:rFonts w:ascii="Calibri" w:hAnsi="Calibri"/>
          <w:b/>
          <w:color w:val="6E8450"/>
          <w:sz w:val="18"/>
        </w:rPr>
        <w:t>DIVIDEND SLEEVE · 2026-07-13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Northern Oil and Gas, Inc. is the largest U.S. publicly traded non-operated energy investment platform, acquiring minority working interests in oil and natural gas properties across the Williston, Permian, Appalachian, and Uinta basins, as well as the Canadian Duvernay shale via NOG Energy Canada Ltd. As a non-operator, NOG relies on partner-operators (ExxonMobil, ConocoPhillips, EOG, Chord Energy) to drill and complete wells, enabling a capital-light model with approximately 45 employees. Headquartered in Minneapolis, Minnesota.</w:t>
      </w:r>
    </w:p>
    <w:p>
      <w:r>
        <w:rPr>
          <w:rFonts w:ascii="Calibri" w:hAnsi="Calibri"/>
          <w:b/>
          <w:color w:val="6E8450"/>
          <w:sz w:val="18"/>
        </w:rPr>
        <w:t>45 Employees · https://noginc.com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production of 148,303 Boe/d (up 10% YoY) with record natural gas production of 448,444 Mcf/d (+33% YoY) demonstrated continued growth through acquisitions [1]. Management raised 2026 production guidance to 143,000-148,000 Boe/d and increased expected wells turned-in-line to 74-76. The Ohio Utica asset acquisition and Canadian Duvernay entry via NOG Energy Canada Ltd represent meaningful geographic expansion [1]. AI Deployment (0/2): As a non-operated platform, NOG does not deploy AI-powered products or report AI-driven savings; the company uses traditional financial analytics for acquisition underwriting but this does not qualify as AI deployment per the scoring rubric [4]. Market Share (1/2): NOG is the largest U.S. publicly traded non-operated E&amp;P — a category leader in a niche that it largely defined, but a small share of total U.S. oil and gas production [4]. Product Pipeline (1/2): Raised 2026 guidance and expanded into Canadian Duvernay with a 25% stake, but pipeline visibility is dependent on partner-operator drilling decisions and commodity prices [1]. R&amp;D Intensity (0/1): E&amp;P companies do not report traditional R&amp;D spending; NOG's proprietary acquisition-underwriting capability is operational expertise rather than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NOG describes itself as a 'non-operated energy investment platform' focused on maximizing returns while minimizing risks — commercially framed with no articulated purpose beyond shareholder value creation [4]. The mission is interchangeable with any private equity energy fund. Community Impact (1/2): NOG's 2023 ESG report disclosed the purchase and retirement of 250 tonnes CO2e, offsetting more than 100% of Scope 1 and Scope 2 emissions [3]. As a non-operator with ~45 employees, NOG enables thousands of operator-level jobs through its working interest partnerships, though this is indirect. Employee Retention (0/2): With only ~45 employees, no public Glassdoor data, retention metrics, or cultural evidence is available; the team is too small for meaningful assessment [4]. Insider Buying (0/2): No specific insider purchases by CEO Nick O'Grady or other executives identified in the research period; institutional accumulation (DePrince Race &amp; Zollo purchased 1.18M shares in April 2026) is external buying, not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Dividend sleeve. Q1 2026 production grew 10% YoY to 148,303 Boe/d but earnings were severely impacted by a $268.3M non-cash ceiling test impairment on oil and gas assets, suppressing GAAP metrics [1]. FY2025 revenue of $1.96B declined 2.14% despite 9% production growth, reflecting lower commodity prices [2]. Forward P/E of 7.18 is attractive for a commodity producer. D/E of 143% is elevated (47% above 10-year median) with total debt of $2.40B, limiting flexibility if oil prices retreat [5]. ROE of 7.95% and profit margin of 8.84% are below target levels, partially reflecting the impairment charge. The $1.80 annualized dividend yields 9.95% but payout ratio is approximately 99%, signaling limited dividend safety margin. Consecutive years of dividend payment (~5 years since reinstatement in late 2021) and rapid dividend growth from a small base earn some dividend metric credit. Liquidity floor easily cleared at $18.73 x 4.43M avg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NOG is a disciplined, financially-oriented non-operated E&amp;P that has scaled through shrewd acquisitions and capital allocation under CEO Nick O'Grady. The business model demonstrates financial flexibility but the company is fundamentally a commodity extraction arbitrage vehicle without a transcendent purpose. Sinek would note the absence of a Just Cause — NOG plays to maximize returns, not to advance a vision of a better future.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NOG exists to generate financial returns from commodity assets through non-operated working interest acquisition. The 'by investors, for investors' positioning is commercially honest but explicitly finite — it articulates no vision of a future state, no service orientation beyond shareholder returns, and no purpose that transcends the current business model [4]. Sinek would identify this as a company playing a finite game with financial scorecard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Nicholas O'Grady (since January 2020, board since 2024) leads a lean 45-person team with deep energy finance expertise, bringing nearly two decades of experience from Bank of America, Highbridge, and Hudson Bay Capital [4]. The small team size and specialized focus suggest high-trust operating dynamics, and O'Grady's continuity through commodity cycles provides stability. No cultural red flags surfaced, but the tiny workforce makes meaningful trust assessment difficult.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NOG competes with private equity non-op aggregators and other public platforms for acquisition opportunities, but management frames competition in terms of winning deals and generating returns rather than learning from rivals' strengths. The competitive language focuses on capital allocation superiority and deal flow, not self-improvement through competitive dynamics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NOG has demonstrated meaningful strategic flexibility — expanding from Williston Basin into Permian, Appalachian, Uinta, and Canadian Duvernay assets, and pivoting toward natural gas (record 448,444 Mcf/d, +33% YoY) to capture AI data center power demand tailwinds [1]. The non-operator business model itself was an innovative adaptation that enables geographic and basin diversification without the fixed-cost burden of operating assets. These are incremental adaptations,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provided 2026 guidance with explicit low-price/low-activity and high-price/high-activity scenarios, showing candor on oil price uncertainty rather than pretending to forecast [1]. The Canadian Duvernay entry (25% stake via NOG Energy Canada Ltd) and Ohio Utica acquisition demonstrate willingness to enter new geographies. However, these are acquisitive growth moves within the same commodity business model — not costly long-term bets that sacrifice near-term earnings in service of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NOG is the largest U.S. publicly traded non-operated E&amp;P, a capital-light platform that captures production growth from drilling decisions made by best-in-class partner-operators across five basins [4]. Q1 2026 delivered record production of 148,303 Boe/d (+10% YoY) with record natural gas volumes of 448,444 Mcf/d (+33% YoY), and management raised full-year 2026 guidance to 143,000-148,000 Boe/d [1]. The Appalachian and Duvernay natural gas positions benefit from the AI data center power demand tailwind. At 7.18x forward earnings and 9.95% dividend yield ($1.80 annualized), NOG offers commodity-linked income at a deeply discounted valuation. The non-operator model provides diversification across basins and operators while maintaining ~45 employees, creating exceptional operating leverage when commodity prices cooperate. Geographic expansion into Canadian Duvernay and Ohio Utica broadens the opportunity set [1].</w:t>
      </w:r>
    </w:p>
    <w:p>
      <w:pPr>
        <w:spacing w:after="120"/>
      </w:pPr>
      <w:r>
        <w:rPr>
          <w:rFonts w:ascii="Calibri" w:hAnsi="Calibri"/>
          <w:b w:val="0"/>
          <w:color w:val="3A4A28"/>
          <w:sz w:val="20"/>
        </w:rPr>
        <w:t>The bear case centers on commodity-price exposure, leverage, and structural limitations. FY2025 revenue declined 2.14% to $1.96B despite 9% production growth because oil prices fell ~14% — NOG is a direct pass-through of commodity volatility [2]. The $268.3M non-cash ceiling test impairment in Q1 2026 crushed GAAP earnings (-92.6% EPS decline YoY), and trailing ROE of 7.95% and profit margin of 8.84% reflect this pressure [1]. D/E of 143% with $2.40B total debt creates meaningful financial leverage — manageable at current EBITDA but risky if commodity prices retreat further [5]. The 9.95% dividend yield with ~99% payout ratio signals limited safety margin. The non-operator structure limits NOG's control over drilling cadence, cost discipline, and ESG practices at the well level. Independent ESG ratings show poor overall performance (Ethos 'F' rating, bottom 10% of industry) [3]. Inspiration is weak — the company lacks a mission beyond financial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demand acceleration from AI data centers driving realized pricing on NOG's record 448,444 Mcf/d Appalachian and Duvernay gas volumes — each $0.50/Mcf price improvement generates meaningful incremental cash flow [1]</w:t>
      </w:r>
    </w:p>
    <w:p>
      <w:pPr>
        <w:spacing w:before="40" w:after="40"/>
        <w:ind w:left="283"/>
      </w:pPr>
      <w:r>
        <w:rPr>
          <w:rFonts w:ascii="Calibri" w:hAnsi="Calibri"/>
          <w:b/>
          <w:color w:val="4A6B25"/>
          <w:sz w:val="20"/>
        </w:rPr>
        <w:t xml:space="preserve">2. </w:t>
      </w:r>
      <w:r>
        <w:rPr>
          <w:rFonts w:ascii="Calibri" w:hAnsi="Calibri"/>
          <w:b w:val="0"/>
          <w:color w:val="3A4A28"/>
          <w:sz w:val="20"/>
        </w:rPr>
        <w:t>Raised 2026 production guidance to 143,000-148,000 Boe/d with 74-76 wells turned-in-line, supported by geographic expansion into Canadian Duvernay and Ohio Utica assets [1]</w:t>
      </w:r>
    </w:p>
    <w:p>
      <w:pPr>
        <w:spacing w:before="40" w:after="40"/>
        <w:ind w:left="283"/>
      </w:pPr>
      <w:r>
        <w:rPr>
          <w:rFonts w:ascii="Calibri" w:hAnsi="Calibri"/>
          <w:b/>
          <w:color w:val="4A6B25"/>
          <w:sz w:val="20"/>
        </w:rPr>
        <w:t xml:space="preserve">3. </w:t>
      </w:r>
      <w:r>
        <w:rPr>
          <w:rFonts w:ascii="Calibri" w:hAnsi="Calibri"/>
          <w:b w:val="0"/>
          <w:color w:val="3A4A28"/>
          <w:sz w:val="20"/>
        </w:rPr>
        <w:t>Forward P/E of 7.18 with 9.95% dividend yield creates deep value positioning — any commodity price improvement could drive significant earnings upside and potential dividend growth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Direct commodity-price exposure — FY2025 revenue fell 2.14% despite 9% production growth because oil prices declined ~14%, and Q1 2026 included a $268.3M non-cash impairment on oil and gas assets [1][2]</w:t>
      </w:r>
    </w:p>
    <w:p>
      <w:pPr>
        <w:spacing w:before="40" w:after="40"/>
        <w:ind w:left="283"/>
      </w:pPr>
      <w:r>
        <w:rPr>
          <w:rFonts w:ascii="Calibri" w:hAnsi="Calibri"/>
          <w:b/>
          <w:color w:val="4A6B25"/>
          <w:sz w:val="20"/>
        </w:rPr>
        <w:t xml:space="preserve">2. </w:t>
      </w:r>
      <w:r>
        <w:rPr>
          <w:rFonts w:ascii="Calibri" w:hAnsi="Calibri"/>
          <w:b w:val="0"/>
          <w:color w:val="3A4A28"/>
          <w:sz w:val="20"/>
        </w:rPr>
        <w:t>Leverage of $2.40B total debt at D/E of 143% constrains financial flexibility if commodity prices retreat, with dividend payout ratio of ~99% leaving minimal safety margin for the 9.95% yield [5]</w:t>
      </w:r>
    </w:p>
    <w:p>
      <w:pPr>
        <w:spacing w:before="40" w:after="40"/>
        <w:ind w:left="283"/>
      </w:pPr>
      <w:r>
        <w:rPr>
          <w:rFonts w:ascii="Calibri" w:hAnsi="Calibri"/>
          <w:b/>
          <w:color w:val="4A6B25"/>
          <w:sz w:val="20"/>
        </w:rPr>
        <w:t xml:space="preserve">3. </w:t>
      </w:r>
      <w:r>
        <w:rPr>
          <w:rFonts w:ascii="Calibri" w:hAnsi="Calibri"/>
          <w:b w:val="0"/>
          <w:color w:val="3A4A28"/>
          <w:sz w:val="20"/>
        </w:rPr>
        <w:t>Non-operator structure limits NOG's control over operator drilling decisions, cost discipline, and ESG practices — independent ESG ratings show poor overall performance (Ethos 'F' 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NOG's core business — acquiring non-operated working interests in physical oil and gas wells — is structurally immune to AI disruption. Hydrocarbon extraction from underground formations requires drilling rigs, completions equipment, and physical infrastructure that AI cannot substitute. AI data center growth actually increases natural gas demand, directly benefiting NOG's record Appalachian gas volumes of 448,444 Mcf/d [1]. When partner-operators like ExxonMobil and ConocoPhillips deploy AI for reservoir management and drilling optimization, NOG captures the upside without bearing the capital cost. The only indirect risk is that AI-driven efficiency improvements could modestly increase global oil supply, putting marginal pressure on commodity prices. AI Opportunity (0/1): NOG does not generate revenue from AI products or services; the company benefits indirectly from operator AI adoption and natural gas demand growth but does not have a quantifiable AI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Northern Oil and Gas Q1 2026 Earnings Release — 148,303 Boe/d production (+10% YoY), record gas 448,444 Mcf/d (+33% YoY), raised 2026 guidance, $268.3M impairment, May 2026</w:t>
      </w:r>
    </w:p>
    <w:p>
      <w:pPr>
        <w:spacing w:before="20" w:after="20"/>
        <w:ind w:left="170"/>
      </w:pPr>
      <w:r>
        <w:rPr>
          <w:rFonts w:ascii="Calibri" w:hAnsi="Calibri"/>
          <w:b/>
          <w:color w:val="4A6B25"/>
          <w:sz w:val="15"/>
        </w:rPr>
        <w:t xml:space="preserve">2. </w:t>
      </w:r>
      <w:r>
        <w:rPr>
          <w:rFonts w:ascii="Calibri" w:hAnsi="Calibri"/>
          <w:b w:val="0"/>
          <w:color w:val="3A4A28"/>
          <w:sz w:val="17"/>
        </w:rPr>
        <w:t>Northern Oil and Gas Full Year 2025 Results — $1.96B revenue (-2.14%), 135,000 Boe/d FY production (+9%), $1.63B adjusted EBITDA, February 2026</w:t>
      </w:r>
    </w:p>
    <w:p>
      <w:pPr>
        <w:spacing w:before="20" w:after="20"/>
        <w:ind w:left="170"/>
      </w:pPr>
      <w:r>
        <w:rPr>
          <w:rFonts w:ascii="Calibri" w:hAnsi="Calibri"/>
          <w:b/>
          <w:color w:val="4A6B25"/>
          <w:sz w:val="15"/>
        </w:rPr>
        <w:t xml:space="preserve">3. </w:t>
      </w:r>
      <w:r>
        <w:rPr>
          <w:rFonts w:ascii="Calibri" w:hAnsi="Calibri"/>
          <w:b w:val="0"/>
          <w:color w:val="3A4A28"/>
          <w:sz w:val="17"/>
        </w:rPr>
        <w:t>Northern Oil and Gas ESG Reports and Ethos ESG Rating (F, bottom 10%) — 250 tonnes CO2e offset, 2023-2025</w:t>
      </w:r>
    </w:p>
    <w:p>
      <w:pPr>
        <w:spacing w:before="20" w:after="20"/>
        <w:ind w:left="170"/>
      </w:pPr>
      <w:r>
        <w:rPr>
          <w:rFonts w:ascii="Calibri" w:hAnsi="Calibri"/>
          <w:b/>
          <w:color w:val="4A6B25"/>
          <w:sz w:val="15"/>
        </w:rPr>
        <w:t xml:space="preserve">4. </w:t>
      </w:r>
      <w:r>
        <w:rPr>
          <w:rFonts w:ascii="Calibri" w:hAnsi="Calibri"/>
          <w:b w:val="0"/>
          <w:color w:val="3A4A28"/>
          <w:sz w:val="17"/>
        </w:rPr>
        <w:t>Northern Oil and Gas Leadership Team — CEO Nicholas O'Grady biography and company profile, noginc.com</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NOG Key Statistics ($18.73, forward PE 7.18, D/E 143%, ROE 7.95%, yield 9.95%),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