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NSC</w:t>
      </w:r>
      <w:r>
        <w:rPr>
          <w:rFonts w:ascii="Calibri" w:hAnsi="Calibri"/>
          <w:b/>
          <w:color w:val="1A2010"/>
          <w:sz w:val="40"/>
        </w:rPr>
        <w:t xml:space="preserve">  Norfolk Southern Corporation</w:t>
      </w:r>
    </w:p>
    <w:p>
      <w:pPr>
        <w:spacing w:after="120"/>
      </w:pPr>
      <w:r>
        <w:rPr>
          <w:rFonts w:ascii="Calibri" w:hAnsi="Calibri"/>
          <w:b/>
          <w:color w:val="6E8450"/>
          <w:sz w:val="18"/>
        </w:rPr>
        <w:t>GROWTH SLEEVE · 2026-08-05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United States</w:t>
      </w:r>
    </w:p>
    <w:p>
      <w:pPr>
        <w:spacing w:after="80"/>
      </w:pPr>
      <w:r>
        <w:rPr>
          <w:rFonts w:ascii="Calibri" w:hAnsi="Calibri"/>
          <w:b w:val="0"/>
          <w:color w:val="3A4A28"/>
          <w:sz w:val="20"/>
        </w:rPr>
        <w:t>Norfolk Southern Corporation operates one of North America's premier Class I railroads, with approximately 19,500 route miles spanning 22 eastern U.S. states and the District of Columbia. The company serves diverse markets including intermodal, chemicals, coal, agriculture, and automotive. In Q2 2026, Norfolk Southern reported record quarterly revenue of $3.5 billion, up 11% year-over-year on 4% volume growth and higher fuel surcharges. Under CEO Mark George, the company is executing a strategy focused on operational discipline, $1 billion in infrastructure upgrades, and safety improvements following the February 2023 East Palestine, Ohio derailment that resulted in a $600 million settlement and ongoing DOJ litigation.</w:t>
      </w:r>
    </w:p>
    <w:p>
      <w:r>
        <w:rPr>
          <w:rFonts w:ascii="Calibri" w:hAnsi="Calibri"/>
          <w:b/>
          <w:color w:val="6E8450"/>
          <w:sz w:val="18"/>
        </w:rPr>
        <w:t>21,000 Employees · https://www.norfolksouthern.com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Norfolk Southern has invested over $1 billion in system-wide infrastructure upgrades since the East Palestine derailment, improving safety, capacity, and service reliability [1]. However, these are incremental improvements to existing rail operations, not new product categories or business model transformations. The business looks fundamentally the same as 5 years ago — a Class I railroad moving freight on fixed routes. AI Deployment (1/2): NSC has deployed the Automated Track Geometry Measurement System (ATGMS) using advanced sensors and lasers mounted on locomotives to detect potential track defects in real-time without disrupting operations [2]. Mabby Amouie (AVP Enterprise Data and Analytics) oversees the AI strategy with ML models deployed for predictive maintenance and operations optimization. These are internal efficiency gains, not AI products sold to customers. Market Share (1/2): NSC is one of only 7 Class I railroads in North America with a dominant eastern U.S. network, holding strong positions in intermodal, chemicals, and coal transport [1]. However, NSC shares eastern rail leadership with CSX and is not the fastest share gainer — market position is stable rather than expanding. Product Pipeline (0/2): No next-generation products or services with specific timelines beyond general capacity expansion. Rail freight is inherently a commodity service with limited product differentiation. R&amp;D Intensity (0/1): Railroads are not traditionally R&amp;D-intensive industries. NSC invests in technology and infrastructure but not at levels above industry average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Norfolk Southern's stated vision is 'building a railroad that is more disciplined, more resilient, and better positioned for growth' — operational language focused on self-improvement of the business rather than articulating a broader purpose for existence [2]. The 'Forging a Better Tomorrow' report suggests some aspirational framing, but the core messaging remains about operational discipline and financial performance. This is generic and interchangeable with any industrial company's strategic plan. Community Impact (0/2): The East Palestine derailment directly contradicts community impact — federal investigators found Norfolk Southern 'withheld info during the response,' and the DOJ alleges the company violated the Clean Water Act by discharging pollutants into local waterways [3]. The $600M settlement compensates for community harm, not community investment. No evidence of proactive charitable programs with specific dollar amounts identified. Employee Retention (0/2): DOJ investigations revealed 'a company culture where safety concerns were routinely dismissed or underfunded in pursuit of maximizing shareholder value,' with executives receiving approximately 80% of compensation tied to revenue and expense performance metrics [3]. This suggests a culture that prioritized financial metrics over employee safety — the opposite of trust and retention. Insider Buying (0/2): No evidence of meaningful net insider buying by CEO Mark George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(dividend yield of 1.63% is below the 2% threshold). ROE of 17.60% exceeds the 15% target, and profit margin of 21.91% beats the 20% target — strong profitability for a capital-intensive railroad [4]. Forward P/E of 26.01 is above the 20 target but scores 0.85 (not at the 60 floor). Revenue growth of ~8% YoY (blended from 11% Q2 2026 and weaker earlier quarters) is near but below the 10% target [1]. The key weakness is the PEG ratio of 2.64 at 2x weight — scoring only 0.18 — reflecting expensive valuation relative to the modest ~2% 5-year revenue CAGR ($11.1B in 2021 to $12.2B TTM 2026). D/E of 108.21% is elevated for the 70% target, scoring 0.83. Liquidity is ample: avg daily volume of 1,312,324 shares at $351.50 = $461M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Norfolk Southern's 190+ year operating history and essential infrastructure role might suggest an infinite game player, but the East Palestine disaster exposed a deeply finite culture — one that the DOJ found routinely dismissed safety concerns and underfunded maintenance in pursuit of quarterly financial metrics. Sinek would cite this as a cautionary example of finite game thinking: a company whose Just Cause (moving the American economy) was subordinated to its operating ratio and executive compensation targets. New CEO Mark George is working to change the culture, but the evidence of lasting transformation remains thin.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Norfolk Southern has operated for 190+ years as essential economic infrastructure, and the company references its role in 'moving the US economy' [2]. This is a genuine contribution to society, and the company's longevity demonstrates some enduring purpose. However, the East Palestine disaster revealed that the actual operating culture prioritized quarterly earnings and operating ratio over the implicit cause of safe, responsible freight transportation. The DOJ found 'a company culture where safety concerns were routinely dismissed or underfunded in pursuit of maximizing shareholder value' [3]. A Just Cause that isn't lived out isn't a Just Cause — it's marketing.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Federal investigation of the East Palestine derailment found systemic cultural failures — safety concerns routinely dismissed, maintenance underfunded, and executive compensation overwhelmingly (80%) tied to revenue and expense metrics rather than safety outcomes [3]. Norfolk Southern withheld information during the East Palestine emergency response. The subsequent CEO resignation (June 2026), COO departure, and organizational restructuring reflect leadership instability. This is the opposite of Sinek's Circle of Safety — employees could not safely raise safety concerns without them being deprioritized for financial targets.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Norfolk Southern competes with CSX (eastern U.S. rail rival), Union Pacific and BNSF (western rail), and the trucking industry for freight share. The company frames competition constructively — investing in intermodal service improvements, capacity expansion, and technology adoption to compete with trucking on cost and reliability rather than attempting to destroy competitors [1]. Management acknowledges favorable competitive dynamics with specific competitors and uses them as motivation for operational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Norfolk Southern has operated the same basic business model for 190+ years — moving freight on fixed rail routes. While technology has evolved (steam to diesel to digital), the fundamental business is unchanged. The post-East Palestine strategic reset is forced restructuring under legal and regulatory pressure, not a Just Cause-driven transformation. No evidence of strategic pivots, market entries, or business model innovations that would demonstrate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pre-East Palestine leadership explicitly optimized for quarterly earnings and operating ratio at the expense of safety and maintenance — the DOJ found executive compensation was 80% tied to financial performance metrics [3]. The post-disaster $1B infrastructure investment and safety improvements were forced by federal litigation, $600M in settlement costs, and congressional scrutiny — not proactive strategic choice. CEO Mark George's $150M cost takeout program and commitment to operational discipline represent competent management, not courageous leadership. Sinek's test: the cost of not investing in safety after East Palestine would have been higher than investing — this is self-interest, not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Norfolk Southern delivered record Q2 2026 revenue of $3.5B (+11% YoY) driven by 4% volume growth and higher fuel surcharges, with income from railway operations of $1.1B reflecting the strength of the eastern U.S. freight franchise [1]. The company is one of only 7 Class I railroads in North America — a natural monopoly with irreplaceable physical infrastructure spanning 19,500 route miles — and an AI Resilience score of 9 reflects the structural immunity of rail freight to technological disruption. At 17.60% ROE and 21.91% profit margins, NSC offers exposure to an essential infrastructure asset with improving operational execution under CEO Mark George's $150M cost takeout program and $1B+ safety investment [1][2].</w:t>
      </w:r>
    </w:p>
    <w:p>
      <w:pPr>
        <w:spacing w:after="120"/>
      </w:pPr>
      <w:r>
        <w:rPr>
          <w:rFonts w:ascii="Calibri" w:hAnsi="Calibri"/>
          <w:b w:val="0"/>
          <w:color w:val="3A4A28"/>
          <w:sz w:val="20"/>
        </w:rPr>
        <w:t>The bear case centers on the East Palestine governance legacy and expensive valuation. The DOJ lawsuit alleges environmental violations and Clean Water Act breaches, federal investigators found the company 'withheld info during the response' and maintained 'a company culture where safety concerns were routinely dismissed,' and the $600M settlement confirms sole company liability [3]. The operating ratio of 67.6% remains above Class I best-in-class levels (low 60s), and margin pressure from rising labor costs, infrastructure spending, and East Palestine-related expenses limits earnings leverage. Revenue growth has been anemic on a 5-year basis (~2% CAGR from 2021-2026 despite the Q2 2026 record), and the PEG ratio of 2.64 with forward P/E of 26.01 suggests the stock is expensive relative to its growth profile, leaving limited margin of safety if freight volumes soften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$150M+ annual cost takeout program driving operating ratio improvement toward low 60s would expand margins and trigger earnings upgrades at current revenue trajectory [1]</w:t>
      </w:r>
    </w:p>
    <w:p>
      <w:pPr>
        <w:spacing w:before="40" w:after="40"/>
        <w:ind w:left="283"/>
      </w:pPr>
      <w:r>
        <w:rPr>
          <w:rFonts w:ascii="Calibri" w:hAnsi="Calibri"/>
          <w:b/>
          <w:color w:val="4A6B25"/>
          <w:sz w:val="20"/>
        </w:rPr>
        <w:t xml:space="preserve">2. </w:t>
      </w:r>
      <w:r>
        <w:rPr>
          <w:rFonts w:ascii="Calibri" w:hAnsi="Calibri"/>
          <w:b w:val="0"/>
          <w:color w:val="3A4A28"/>
          <w:sz w:val="20"/>
        </w:rPr>
        <w:t>Domestic intermodal volume growth from highway-to-rail conversion and favorable fuel economics, supported by industrial development projects across the eastern U.S. network</w:t>
      </w:r>
    </w:p>
    <w:p>
      <w:pPr>
        <w:spacing w:before="40" w:after="40"/>
        <w:ind w:left="283"/>
      </w:pPr>
      <w:r>
        <w:rPr>
          <w:rFonts w:ascii="Calibri" w:hAnsi="Calibri"/>
          <w:b/>
          <w:color w:val="4A6B25"/>
          <w:sz w:val="20"/>
        </w:rPr>
        <w:t xml:space="preserve">3. </w:t>
      </w:r>
      <w:r>
        <w:rPr>
          <w:rFonts w:ascii="Calibri" w:hAnsi="Calibri"/>
          <w:b w:val="0"/>
          <w:color w:val="3A4A28"/>
          <w:sz w:val="20"/>
        </w:rPr>
        <w:t>Post-East Palestine safety investments of $1B+ position NSC for reduced operating disruptions, regulatory goodwill, and potential resolution of DOJ litigation that would remove the stock's governance discount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East Palestine legal and regulatory exposure remains elevated with ongoing DOJ prosecution alleging Clean Water Act violations, potential additional environmental fines, and reputational damage affecting customer and employee relationships [3]</w:t>
      </w:r>
    </w:p>
    <w:p>
      <w:pPr>
        <w:spacing w:before="40" w:after="40"/>
        <w:ind w:left="283"/>
      </w:pPr>
      <w:r>
        <w:rPr>
          <w:rFonts w:ascii="Calibri" w:hAnsi="Calibri"/>
          <w:b/>
          <w:color w:val="4A6B25"/>
          <w:sz w:val="20"/>
        </w:rPr>
        <w:t xml:space="preserve">2. </w:t>
      </w:r>
      <w:r>
        <w:rPr>
          <w:rFonts w:ascii="Calibri" w:hAnsi="Calibri"/>
          <w:b w:val="0"/>
          <w:color w:val="3A4A28"/>
          <w:sz w:val="20"/>
        </w:rPr>
        <w:t>Cyclical freight volume exposure to industrial production trends, secular coal demand decline, and economic slowdown would compress revenue from the Q2 2026 record level — the 5-year revenue CAGR of ~2% reflects the structural growth challenge</w:t>
      </w:r>
    </w:p>
    <w:p>
      <w:pPr>
        <w:spacing w:before="40" w:after="40"/>
        <w:ind w:left="283"/>
      </w:pPr>
      <w:r>
        <w:rPr>
          <w:rFonts w:ascii="Calibri" w:hAnsi="Calibri"/>
          <w:b/>
          <w:color w:val="4A6B25"/>
          <w:sz w:val="20"/>
        </w:rPr>
        <w:t xml:space="preserve">3. </w:t>
      </w:r>
      <w:r>
        <w:rPr>
          <w:rFonts w:ascii="Calibri" w:hAnsi="Calibri"/>
          <w:b w:val="0"/>
          <w:color w:val="3A4A28"/>
          <w:sz w:val="20"/>
        </w:rPr>
        <w:t>Elevated PEG ratio of 2.64 and forward P/E of 26.01 leave limited margin of safety if growth disappoints, particularly given anemic long-term revenue growth and ongoing East Palestine-related costs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Railroad freight transportation is structurally immune to AI disruption — the physical infrastructure of 19,500 route miles of track, railyards, locomotives, and rolling stock cannot be replicated or substituted by software [1]. Class I railroads operate as natural monopolies with geographic exclusivity, massive barriers to entry ($30B+ replacement cost), and essential economic function. AI actually increases demand for rail: data centers need electricity (coal/natural gas transport), AI chip manufacturing needs raw materials, and the digital economy requires physical goods movement. Analysts see zero substitution risk for rail freight from AI. The 8/9 score reflects that while AI-driven autonomous trucking could marginally shift intermodal share over the very long term, this threat is distant and uncertain. AI Opportunity (1/1): NSC generates measurable operational value from AI deployment — the ATGMS system uses ML-powered sensors on locomotives for real-time track geometry measurement and defect detection, and predictive analytics models optimize network fluidity and maintenance scheduling [2]. While not AI revenue sold externally, these deployments produce quantifiable safety improvements and cost reductions.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Norfolk Southern Q2 2026 Earnings Release — Record $3.5B Revenue, PRNewswire, July 23, 2026</w:t>
      </w:r>
    </w:p>
    <w:p>
      <w:pPr>
        <w:spacing w:before="20" w:after="20"/>
        <w:ind w:left="170"/>
      </w:pPr>
      <w:r>
        <w:rPr>
          <w:rFonts w:ascii="Calibri" w:hAnsi="Calibri"/>
          <w:b/>
          <w:color w:val="4A6B25"/>
          <w:sz w:val="15"/>
        </w:rPr>
        <w:t xml:space="preserve">2. </w:t>
      </w:r>
      <w:r>
        <w:rPr>
          <w:rFonts w:ascii="Calibri" w:hAnsi="Calibri"/>
          <w:b w:val="0"/>
          <w:color w:val="3A4A28"/>
          <w:sz w:val="17"/>
        </w:rPr>
        <w:t>Norfolk Southern AI Innovation — ATGMS and Digital Technology Strategy, InnoLead and Company Website, 2025-2026</w:t>
      </w:r>
    </w:p>
    <w:p>
      <w:pPr>
        <w:spacing w:before="20" w:after="20"/>
        <w:ind w:left="170"/>
      </w:pPr>
      <w:r>
        <w:rPr>
          <w:rFonts w:ascii="Calibri" w:hAnsi="Calibri"/>
          <w:b/>
          <w:color w:val="4A6B25"/>
          <w:sz w:val="15"/>
        </w:rPr>
        <w:t xml:space="preserve">3. </w:t>
      </w:r>
      <w:r>
        <w:rPr>
          <w:rFonts w:ascii="Calibri" w:hAnsi="Calibri"/>
          <w:b w:val="0"/>
          <w:color w:val="3A4A28"/>
          <w:sz w:val="17"/>
        </w:rPr>
        <w:t>DOJ Lawsuit and East Palestine Derailment — Environmental Violations, Culture Findings, and $600M Settlement, ABC News, CNN, Spotlight PA,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GuruFocus — NSC Key Statistics, PEG Ratio,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