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NTAP</w:t>
      </w:r>
      <w:r>
        <w:rPr>
          <w:rFonts w:ascii="Calibri" w:hAnsi="Calibri"/>
          <w:b/>
          <w:color w:val="1A2010"/>
          <w:sz w:val="40"/>
        </w:rPr>
        <w:t xml:space="preserve">  NetApp, Inc.</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&amp; Storage · NASDAQ · United States</w:t>
      </w:r>
    </w:p>
    <w:p>
      <w:pPr>
        <w:spacing w:after="80"/>
      </w:pPr>
      <w:r>
        <w:rPr>
          <w:rFonts w:ascii="Calibri" w:hAnsi="Calibri"/>
          <w:b w:val="0"/>
          <w:color w:val="3A4A28"/>
          <w:sz w:val="20"/>
        </w:rPr>
        <w:t>NetApp, Inc. is a global leader in unified data storage and intelligent data infrastructure, providing on-premises and hybrid-cloud storage platforms via its ONTAP operating system, all-flash arrays (AFF, ASA), and Public Cloud services on AWS, Azure, and GCP. The company's AFX platform is NVIDIA SuperPOD-certified for AI infrastructure storage, and AIDE (AI Data Engine) positions ONTAP as the data backbone for enterprise AI workloads. Headquartered in San Jose, California, with approximately 12,000 employees.</w:t>
      </w:r>
    </w:p>
    <w:p>
      <w:r>
        <w:rPr>
          <w:rFonts w:ascii="Calibri" w:hAnsi="Calibri"/>
          <w:b/>
          <w:color w:val="6E8450"/>
          <w:sz w:val="18"/>
        </w:rPr>
        <w:t>12,000 Employees · https://www.netapp.com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FY2026 net revenue of $1.95B grew 12% YoY, with full-year FY2026 revenue of $6.93B up 5% [1]. All-Flash Array revenue hit a record $1.2B in Q4 (+18% YoY), and Public Cloud net revenue reached a record $182M (+11% YoY) [1]. First-party and marketplace cloud services grew 30% in FY2026. AI Deployment (1/2): NetApp has been closing growing numbers of AI infrastructure and data lake modernization deals, with AI deployments accelerating high-performance storage demand. AFX (NVIDIA SuperPOD-certified) positions NetApp directly in the enterprise AI data infrastructure stack [1][2]. However, specific AI revenue quantification is not broken out separately. Market Share (1/2): Strong position in enterprise unified file/block storage with dominant ONTAP installed base, but competes with Pure Storage, Dell, IBM, and hyperscaler-native storage solutions [2]. Product Pipeline (1/2): FY2027 guidance raised, pointing to higher operating margins and EPS growth underpinned by AI infrastructure and cloud storage demand [1]. Specific next-gen products beyond AFX are not publicly detailed with launch dates. R&amp;D Intensity (1/1): Sustained engineering investment in AFX, ONTAP AI features, and cloud integrations; above average for the enterprise storage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George Kurian has framed NetApp's mission around helping enterprises harness data in the age of AI and cloud — a clear, relevant purpose that has guided the company through cloud and AI transitions [4]. However, the mission is more functionally descriptive than inspiring or transcendent. Community Impact (1/2): NetApp received EcoVadis Gold medal (top 5% of all companies rated), achieved LEED Platinum certification for its Cork, Ireland headquarters, and has SBTi-validated sustainability goals with 37% reduction in Scope 1+2 emissions vs 2020 baseline and 113% increase in renewable energy use [3]. Meaningful but not distinctive for a large tech company. Employee Retention (1/2): CEO George Kurian's 10+ year tenure (since June 2015) provides exceptional leadership continuity. Glassdoor rating of 3.7/5 with 82% recommending to a friend and 71% positive outlook [4]. Employees describe the culture as 'innovative in an uninnovative space' with accessible executive leaders. However, some note organizational restructuring has disrupted culture and managerial consistency varies. Insider Buying (0/2): No notable cluster of insider purchases identified; the company returns capital through consistent dividend ($2.08 annual) and buyback program rather than insider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Growth sleeve. FY2026 revenue of $6.93B (+5% YoY) with Q4 accelerating to 12% YoY growth reflects AI-driven demand inflection [1]. Non-GAAP operating margin reached 32% in Q4 (vs 28.6% YoY) with gross margin of 71.5%, demonstrating strong profitability improvement from mix shift to all-flash and cloud [1]. Forward P/E of 14.25 (reflecting FY2027 raised guidance) and PEG of 1.83 are reasonable for a quality technology franchise with improving growth trajectory. ROE of 112.59% is exceptional, driven by significant share buybacks reducing the equity base. Profit margin of 18.07% approaches the 20% target. D/E of 236% is elevated ($2.73B debt) but offset by $3.02B cash for a net cash position of $281M [5]. 5-year revenue CAGR of 3.8% is the main weakness — AI tailwind is offsetting legacy hybrid storage decline rather than driving accelerated net growth. Free cash flow of $1.61B ($1.79B operating cash flow minus $183M capex) supports capital returns. Liquidity floor easily cleared.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NetApp under CEO George Kurian (since 2015) demonstrates strong infinite-game thinking — he embraced cloud as opportunity rather than threat in the mid-2010s and is now repeating the playbook with AI. The 10+ year CEO tenure, consistent investment in ONTAP as a multi-decade platform, EcoVadis Gold sustainability rating, and the 'embrace disruption' leadership philosophy all support a long-term mindset. However, modest organic growth (3.8% 5-year revenue CAGR) raises questions about whether the infinite mindset is translating into infinite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Helping enterprises manage and harness data across cloud, on-premises, and AI environments is a clear, durable purpose that has guided NetApp through multiple technology cycles — from on-premises NAS to cloud storage to AI infrastructure [4]. CEO Kurian's stated philosophy of 'embracing what is good for clients even if disruptive to NetApp's near-term business' connects purpose to strategic decisions. However, this purpose has not been tested through existential crisis or leadership transition (Kurian has been the only recent transformative CEO) and does not yet reach the multi-decade validation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George Kurian's 10+ year CEO tenure (since June 2015) provides exceptional cultural stability, and engineering teams have repeatedly delivered platform transitions (cloud, all-flash, AI) on schedule [4]. Glassdoor rating of 3.7/5 with 82% recommending is solid. Employees describe executive leaders as 'accessible to all levels' and the workforce as 'loyal, creative, and driven' [4]. However, annual organizational changes have 'disrupted not only the culture but made messaging to partners and customers unclear,' and managerial consistency varies by team, preventing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NetApp competes with Pure Storage, Dell, IBM, and hyperscaler-native storage while simultaneously partnering with NVIDIA, AWS, Azure, and GCP — demonstrating sophisticated competitive thinking that uses rivalry for improvement rather than destruction [1][2]. The NVIDIA SuperPOD certification shows willingness to collaborate where others would compete. Management frames the competitive landscape in terms of customer value and data management capabilities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NetApp successfully transitioned from on-premises hybrid storage to a model where All-Flash Arrays and Public Cloud now dominate revenue, and is now pivoting to AI data infrastructure — each transition extending the ONTAP platform rather than replacing it [1]. The shift from hardware-centric to software/services model is genuine. However, these transitions are evolutionary extensions of the same storage franchise, not the kind of transformative abandonment of a core business (like Apple dropping Mac for iPhone) that Sinek highlights.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Kurian's stated leadership philosophy — 'embrace what is good for clients even if disruptive to NetApp's near-term business' — is the courageous mindset Sinek describes [4]. The cloud transition required investing in partnerships with AWS, Azure, and GCP that could have cannibalized on-premises revenue. However, NetApp's $1.61B free cash flow and 20x trailing PE provide a comfortable cushion that reduces the actual cost of these transitions — the company has never been forced to make a truly painful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NetApp is successfully repositioning as enterprise AI data infrastructure. FY2026 revenue of $6.93B grew 5% with Q4 accelerating to 12% YoY ($1.95B), and All-Flash Array revenue hit a record $1.2B quarterly (+18% YoY) driven by AI infrastructure demand [1]. Non-GAAP operating margin expanded to 32% in Q4 (from 28.6% YoY) on mix shift to higher-margin all-flash and cloud products. Public Cloud services grew 30% in FY2026 [1]. Management raised FY2027 guidance pointing to faster revenue growth, higher operating margins, and higher EPS — the stock surged 26.4% on the announcement [1][2]. AFX (NVIDIA SuperPOD-certified) and AIDE position ONTAP as the data backbone for enterprise AI workloads requiring on-premises or hybrid storage. CEO George Kurian's 10+ year tenure and 'embrace disruption' philosophy add execution credibility. At 14.25x forward earnings with free cash flow of $1.61B and a net cash position of $281M, the risk-reward is favorable for a quality technology franchise with improving growth trajectory [5].</w:t>
      </w:r>
    </w:p>
    <w:p>
      <w:pPr>
        <w:spacing w:after="120"/>
      </w:pPr>
      <w:r>
        <w:rPr>
          <w:rFonts w:ascii="Calibri" w:hAnsi="Calibri"/>
          <w:b w:val="0"/>
          <w:color w:val="3A4A28"/>
          <w:sz w:val="20"/>
        </w:rPr>
        <w:t>The bear case centers on modest organic growth and competitive intensity. FY2026 revenue grew only 5% overall — the AI tailwind is offsetting legacy hybrid storage decline rather than delivering meaningful net acceleration, and 5-year revenue CAGR of just 3.8% is below the infrastructure target [1][5]. Pure Storage, Dell, and hyperscaler-native storage solutions all compete aggressively for AI data infrastructure dollars, and NetApp must continuously prove AFX wins versus alternatives. D/E of 236% ($2.73B debt) is above target though partially offset by $3.02B cash. The PEG of 1.83 suggests the market is pricing in acceleration that has not yet materialized in the top line. Customer AI ROI cycles are still being established — if enterprise AI deployments slow, the demand inflection visible in Q4 could decelerate. The Inspire Impact score of -49 (MISALIGNED due to LGBT Activism attribution) deters faith-based investors despite a long list of positive ESG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raised guidance reflecting AI-driven demand acceleration — management projects faster revenue growth, higher operating margins (expanding from 32% Q4 FY2026), and higher EPS on continued all-flash and cloud mix shift [1][2]</w:t>
      </w:r>
    </w:p>
    <w:p>
      <w:pPr>
        <w:spacing w:before="40" w:after="40"/>
        <w:ind w:left="283"/>
      </w:pPr>
      <w:r>
        <w:rPr>
          <w:rFonts w:ascii="Calibri" w:hAnsi="Calibri"/>
          <w:b/>
          <w:color w:val="4A6B25"/>
          <w:sz w:val="20"/>
        </w:rPr>
        <w:t xml:space="preserve">2. </w:t>
      </w:r>
      <w:r>
        <w:rPr>
          <w:rFonts w:ascii="Calibri" w:hAnsi="Calibri"/>
          <w:b w:val="0"/>
          <w:color w:val="3A4A28"/>
          <w:sz w:val="20"/>
        </w:rPr>
        <w:t>All-Flash Array quarterly revenue trajectory beyond $1.2B (+18% YoY) as enterprise AI infrastructure buildout accelerates and NVIDIA SuperPOD-certified AFX captures design wins [1]</w:t>
      </w:r>
    </w:p>
    <w:p>
      <w:pPr>
        <w:spacing w:before="40" w:after="40"/>
        <w:ind w:left="283"/>
      </w:pPr>
      <w:r>
        <w:rPr>
          <w:rFonts w:ascii="Calibri" w:hAnsi="Calibri"/>
          <w:b/>
          <w:color w:val="4A6B25"/>
          <w:sz w:val="20"/>
        </w:rPr>
        <w:t xml:space="preserve">3. </w:t>
      </w:r>
      <w:r>
        <w:rPr>
          <w:rFonts w:ascii="Calibri" w:hAnsi="Calibri"/>
          <w:b w:val="0"/>
          <w:color w:val="3A4A28"/>
          <w:sz w:val="20"/>
        </w:rPr>
        <w:t>Public Cloud services growth acceleration (30% in FY2026) as first-party and marketplace cloud storage demand compounds with hybrid cloud and AI data management needs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Modest 5% FY2026 revenue growth and 3.8% 5-year CAGR indicate AI tailwind is offsetting legacy decline rather than driving net acceleration — total addressable market growth must translate to sustained top-line momentum [1][5]</w:t>
      </w:r>
    </w:p>
    <w:p>
      <w:pPr>
        <w:spacing w:before="40" w:after="40"/>
        <w:ind w:left="283"/>
      </w:pPr>
      <w:r>
        <w:rPr>
          <w:rFonts w:ascii="Calibri" w:hAnsi="Calibri"/>
          <w:b/>
          <w:color w:val="4A6B25"/>
          <w:sz w:val="20"/>
        </w:rPr>
        <w:t xml:space="preserve">2. </w:t>
      </w:r>
      <w:r>
        <w:rPr>
          <w:rFonts w:ascii="Calibri" w:hAnsi="Calibri"/>
          <w:b w:val="0"/>
          <w:color w:val="3A4A28"/>
          <w:sz w:val="20"/>
        </w:rPr>
        <w:t>Competition from Pure Storage, Dell, and hyperscaler-native storage in the AI data infrastructure category could compress AFX win rates and pricing as the market matures [2]</w:t>
      </w:r>
    </w:p>
    <w:p>
      <w:pPr>
        <w:spacing w:before="40" w:after="40"/>
        <w:ind w:left="283"/>
      </w:pPr>
      <w:r>
        <w:rPr>
          <w:rFonts w:ascii="Calibri" w:hAnsi="Calibri"/>
          <w:b/>
          <w:color w:val="4A6B25"/>
          <w:sz w:val="20"/>
        </w:rPr>
        <w:t xml:space="preserve">3. </w:t>
      </w:r>
      <w:r>
        <w:rPr>
          <w:rFonts w:ascii="Calibri" w:hAnsi="Calibri"/>
          <w:b w:val="0"/>
          <w:color w:val="3A4A28"/>
          <w:sz w:val="20"/>
        </w:rPr>
        <w:t>PEG of 1.83 at 14.25x forward PE prices in growth acceleration that must materialize in FY2027 — any miss against raised guidance could trigger meaningful multiple compression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NetApp is an AI enabler, not a disruption target. Enterprise AI workloads require durable, governed, high-performance data storage infrastructure — NetApp's ONTAP, AFX (NVIDIA SuperPOD-certified), and AIDE provide exactly this for on-premises and hybrid AI deployments that hyperscaler-native storage cannot serve [1][2]. AI data center buildout directly increases demand for high-performance storage arrays, and Q4 FY2026's record $1.2B All-Flash revenue (+18% YoY) demonstrates real attach to AI workloads [1]. CEO George Kurian's 'embrace disruption rather than fear it' philosophy has successfully guided NetApp through the cloud transition and is now driving the AI pivot [4]. The risk that prevents an IMMUNE rating is competitive: cloud providers (AWS, Azure, GCP) are building their own AI-optimized storage, and Pure Storage competes directly for enterprise AI data infrastructure dollars. AI Opportunity (1/1): Record All-Flash Array revenue of $1.2B quarterly (+18% YoY) is substantially driven by AI infrastructure demand. NVIDIA SuperPOD certification on AFX positions NetApp directly in the AI compute stack. Management raised FY2027 guidance citing AI-driven demand acceleration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NetApp Q4 FY2026 Earnings Release — $1.95B revenue (+12% YoY), record $1.2B All-Flash (+18%), record $182M Public Cloud (+11%), 32% operating margin, raised FY2027 guidance, June 2026</w:t>
      </w:r>
    </w:p>
    <w:p>
      <w:pPr>
        <w:spacing w:before="20" w:after="20"/>
        <w:ind w:left="170"/>
      </w:pPr>
      <w:r>
        <w:rPr>
          <w:rFonts w:ascii="Calibri" w:hAnsi="Calibri"/>
          <w:b/>
          <w:color w:val="4A6B25"/>
          <w:sz w:val="15"/>
        </w:rPr>
        <w:t xml:space="preserve">2. </w:t>
      </w:r>
      <w:r>
        <w:rPr>
          <w:rFonts w:ascii="Calibri" w:hAnsi="Calibri"/>
          <w:b w:val="0"/>
          <w:color w:val="3A4A28"/>
          <w:sz w:val="17"/>
        </w:rPr>
        <w:t>NetApp FY2026 Annual Results and AI Infrastructure Demand Analysis — Futurum Group, $6.93B revenue (+5%), 30% cloud services growth, AI deployment acceleration, June 2026</w:t>
      </w:r>
    </w:p>
    <w:p>
      <w:pPr>
        <w:spacing w:before="20" w:after="20"/>
        <w:ind w:left="170"/>
      </w:pPr>
      <w:r>
        <w:rPr>
          <w:rFonts w:ascii="Calibri" w:hAnsi="Calibri"/>
          <w:b/>
          <w:color w:val="4A6B25"/>
          <w:sz w:val="15"/>
        </w:rPr>
        <w:t xml:space="preserve">3. </w:t>
      </w:r>
      <w:r>
        <w:rPr>
          <w:rFonts w:ascii="Calibri" w:hAnsi="Calibri"/>
          <w:b w:val="0"/>
          <w:color w:val="3A4A28"/>
          <w:sz w:val="17"/>
        </w:rPr>
        <w:t>NetApp FY2024 ESG Impact Report — EcoVadis Gold (top 5%), SBTi-validated targets, 37% Scope 1+2 emissions reduction, LEED Platinum Cork HQ, 2024-2025</w:t>
      </w:r>
    </w:p>
    <w:p>
      <w:pPr>
        <w:spacing w:before="20" w:after="20"/>
        <w:ind w:left="170"/>
      </w:pPr>
      <w:r>
        <w:rPr>
          <w:rFonts w:ascii="Calibri" w:hAnsi="Calibri"/>
          <w:b/>
          <w:color w:val="4A6B25"/>
          <w:sz w:val="15"/>
        </w:rPr>
        <w:t xml:space="preserve">4. </w:t>
      </w:r>
      <w:r>
        <w:rPr>
          <w:rFonts w:ascii="Calibri" w:hAnsi="Calibri"/>
          <w:b w:val="0"/>
          <w:color w:val="3A4A28"/>
          <w:sz w:val="17"/>
        </w:rPr>
        <w:t>CEO George Kurian Leadership Coverage — ITP.net, CRN Top 100, Built In Culture Profile, 10+ year tenure, 'embrace disruption' philosophy,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NTAP Key Statistics ($120, PE 20.10, forward PE 14.25, PEG 1.83, D/E 236%, ROE 112.59%),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