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NVVE</w:t>
      </w:r>
      <w:r>
        <w:rPr>
          <w:rFonts w:ascii="Calibri" w:hAnsi="Calibri"/>
          <w:b/>
          <w:color w:val="1A2010"/>
          <w:sz w:val="40"/>
        </w:rPr>
        <w:t xml:space="preserve">  Nuvve Holding Corp.</w:t>
      </w:r>
    </w:p>
    <w:p>
      <w:pPr>
        <w:spacing w:after="120"/>
      </w:pPr>
      <w:r>
        <w:rPr>
          <w:rFonts w:ascii="Calibri" w:hAnsi="Calibri"/>
          <w:b/>
          <w:color w:val="6E8450"/>
          <w:sz w:val="18"/>
        </w:rPr>
        <w:t>GROWTH SLEEVE · 2026-07-12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Software—Application · NASDAQ · United States</w:t>
      </w:r>
    </w:p>
    <w:p>
      <w:pPr>
        <w:spacing w:after="80"/>
      </w:pPr>
      <w:r>
        <w:rPr>
          <w:rFonts w:ascii="Calibri" w:hAnsi="Calibri"/>
          <w:b w:val="0"/>
          <w:color w:val="3A4A28"/>
          <w:sz w:val="20"/>
        </w:rPr>
        <w:t>Nuvve Holding Corp. is a vehicle-to-grid (V2G) technology company providing intelligent energy management platforms that enable bidirectional charging between electric vehicles and the power grid. Its GIVe platform orchestrates real-time V2G services, load optimization, and grid support for fleet operators and utilities. In 2025, Nuvve acquired Fermata Energy assets to consolidate V2G intellectual property. The company integrated Astrea AI into its FleetBox charge management app. Nuvve has received going concern warnings and executed multiple reverse stock splits to maintain Nasdaq listing compliance.</w:t>
      </w:r>
    </w:p>
    <w:p>
      <w:r>
        <w:rPr>
          <w:rFonts w:ascii="Calibri" w:hAnsi="Calibri"/>
          <w:b/>
          <w:color w:val="6E8450"/>
          <w:sz w:val="18"/>
        </w:rPr>
        <w:t>50 Employees · https://nuvve.com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Nuvve pioneered commercial V2G technology and acquired Fermata Energy assets in 2025 to consolidate V2G IP, creating a broader energy management platform spanning DC fast charging, behind-the-meter optimization, and grid services [2]. However, revenue declined 9.3% to just $4.8M in FY2025, demonstrating that commercial traction has not materialized despite years of development. AI Deployment (1/2): Astrea AI has been integrated into the FleetBox charge management app, providing AI-driven route optimization, battery state-of-charge management, and V2G revenue optimization for fleet customers — this is actual AI deployment in a shipping product [2]. Market Share (0/2): The V2G market remains nascent with minimal commercial scale; Nuvve has some IP leadership but $4.8M in annual revenue indicates negligible market penetration against competitors like Tesla, ChargePoint, and utility-owned programs. Product Pipeline (0/2): AC V2G technology unveiled at Exelon event and Fermata acquisition expand capabilities, but no specific revenue pipeline, contract backlog, or customer commitments are disclosed that provide near-term revenue visibility [2]. R&amp;D Intensity (0/1): While Nuvve spends heavily relative to revenue, the -$30.8M net loss on $4.8M revenue reflects cash burn rather than productive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Nuvve's purpose — decarbonizing transportation and the grid through vehicle-to-grid technology — is specific, connects to a genuine climate imperative, and differentiates from generic clean energy companies by focusing on the innovative intersection of EVs and grid services [2]. The mission is thoughtful and clearly shapes strategic decisions (V2G focus, Fermata acquisition, utility partnerships). Community Impact (0/2): No evidence of community programs, charitable giving, or impact initiatives beyond the environmental benefit inherent in the core business. With only ~50 employees and severe financial distress, community investment resources are nonexistent. Employee Retention (0/2): No employee retention data available; extremely small company with going concern warnings, multiple reverse stock splits, and Nasdaq compliance issues creating high uncertainty for employees. Insider Buying (0/2): No evidence of meaningful insider buying identified; financial distress and extreme share dilution through reverse splits suggest insider confidence is low.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Nuvve is in severe financial distress with $4.8M FY2025 revenue declining 9.3% YoY, net loss of $30.8M (net margin -643%), accumulated deficit of $165.6M, and going concern warnings from auditors [1][3]. The company executed a 1-for-40 reverse stock split in December 2025 and a 1-for-18 reverse split in July 2026 to maintain Nasdaq minimum bid compliance, and received additional noncompliance notices for late 10-Q filing [3]. Altman Z-Score of -21.18 places it deep in the bankruptcy distress zone. Market cap of approximately $5M makes this an extreme micro-cap. D/E and ROE are excluded from scoring due to likely negative or minimal equity base. Only revenue growth YoY (-9.3%) and profit margin (-643%) are scorable, both contributing near-zero to the weighted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Nuvve has a genuine environmental purpose in V2G technology, but the company is in survival mode — going concern warnings, Nasdaq delisting risk, multiple reverse stock splits, and cash burn exceeding revenue 6x over. Sinek would recognize the cause but observe that a company fighting for survival cannot play an infinite game. Every decision is dictated by short-term cash preservation rather than long-term capability building. The existential threat is financial, not strategic.</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Nuvve's cause — decarbonizing transportation and the grid through V2G — is genuine and connects to a meaningful future state. However, the cause has not been validated by execution: $4.8M in annual revenue after years of development, going concern warnings, and accumulated deficit of $165.6M suggest the cause has not translated into sustainable business reality [1][3]. A Just Cause must be backed by viable execution to score higher than 1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going concern warnings, Nasdaq delisting notices, multiple reverse stock splits, and a workforce of approximately 50 people facing existential corporate uncertainty, the conditions for psychological safety and trusting teams are severely compromised [3]. Employees face constant anxiety about company survival, making it nearly impossible to take risks, admit mistakes, or focus on long-term capability 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Nuvve's communications position the company as a V2G pioneer and IP leader without meaningfully engaging with larger competitors' strengths [2]. No evidence of infinite competitive thinking — the narrative emphasizes Nuvve's unique technology rather than learning from Tesla's scale, ChargePoint's market presence, or utility-owned programs' regulatory advantages.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Fermata Energy acquisition and expansion from pure V2G into broader energy storage, microgrids, and grid support services represents meaningful strategic evolution — Nuvve recognized it needed to broaden beyond V2G to achieve commercial viability [2]. However, this pivot was driven by financial necessity (V2G revenue was not materializing fast enough) rather than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Persisting with V2G technology through years of losses and near-bankruptcy could be interpreted as courage, but Sinek distinguishes between courage (making costly long-term bets from a position of strength) and desperation (having no viable alternative). Nuvve's decisions are driven by survival rather than courageous choice [3]. Multiple reverse stock splits and going concern warnings are the opposite of playing from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Nuvve holds pioneering V2G intellectual property consolidated through the Fermata Energy acquisition, and the integration of Astrea AI into FleetBox demonstrates genuine technical capability in bidirectional charging management [2]. The addressable V2G market is projected to grow significantly as EV adoption accelerates and utilities seek distributed grid resources. Q4 2025 showed modestly improving fundamentals with revenue of $1.9M (vs $1.8M YoY) and gross margins improving to 24.2% from 15.8%, suggesting the Fermata integration may be providing some commercial traction [1]. The company's AC V2G technology unveiled at an Exelon event signals potential utility customer interest.</w:t>
      </w:r>
    </w:p>
    <w:p>
      <w:pPr>
        <w:spacing w:after="120"/>
      </w:pPr>
      <w:r>
        <w:rPr>
          <w:rFonts w:ascii="Calibri" w:hAnsi="Calibri"/>
          <w:b w:val="0"/>
          <w:color w:val="3A4A28"/>
          <w:sz w:val="20"/>
        </w:rPr>
        <w:t>The overwhelming risk is survival. Nuvve has a going concern warning from auditors, accumulated deficit of $165.6M, FY2025 net loss of $30.8M on just $4.8M revenue (net margin -643%), and has executed two reverse stock splits within seven months (1-for-40 in December 2025 and 1-for-18 in July 2026) to maintain Nasdaq listing compliance [1][3]. Market cap of approximately $5M makes this an extreme micro-cap vulnerable to further dilution, delisting, and ultimately bankruptcy. The Altman Z-Score of -21.18 places Nuvve deep in the bankruptcy distress zone. Revenue declined 9.3% YoY in FY2025 despite the Fermata acquisition, and Nasdaq has issued additional noncompliance notices for the late March 2026 10-Q filing [3]. Even if V2G technology eventually achieves commercial scale, Nuvve may not survive long enough to benefit — larger, well-capitalized competitors (Tesla, ChargePoint, utilities) can enter the V2G market at any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Material V2G contract win with a major utility or fleet operator that validates commercial viability and provides revenue visibility above $20M annually</w:t>
      </w:r>
    </w:p>
    <w:p>
      <w:pPr>
        <w:spacing w:before="40" w:after="40"/>
        <w:ind w:left="283"/>
      </w:pPr>
      <w:r>
        <w:rPr>
          <w:rFonts w:ascii="Calibri" w:hAnsi="Calibri"/>
          <w:b/>
          <w:color w:val="4A6B25"/>
          <w:sz w:val="20"/>
        </w:rPr>
        <w:t xml:space="preserve">2. </w:t>
      </w:r>
      <w:r>
        <w:rPr>
          <w:rFonts w:ascii="Calibri" w:hAnsi="Calibri"/>
          <w:b w:val="0"/>
          <w:color w:val="3A4A28"/>
          <w:sz w:val="20"/>
        </w:rPr>
        <w:t>Resolution of Nasdaq compliance issues (bid price, 10-Q filing) and successful capital raise that removes the going concern warning and extends cash runway beyond 12 months</w:t>
      </w:r>
    </w:p>
    <w:p>
      <w:pPr>
        <w:spacing w:before="40" w:after="40"/>
        <w:ind w:left="283"/>
      </w:pPr>
      <w:r>
        <w:rPr>
          <w:rFonts w:ascii="Calibri" w:hAnsi="Calibri"/>
          <w:b/>
          <w:color w:val="4A6B25"/>
          <w:sz w:val="20"/>
        </w:rPr>
        <w:t xml:space="preserve">3. </w:t>
      </w:r>
      <w:r>
        <w:rPr>
          <w:rFonts w:ascii="Calibri" w:hAnsi="Calibri"/>
          <w:b w:val="0"/>
          <w:color w:val="3A4A28"/>
          <w:sz w:val="20"/>
        </w:rPr>
        <w:t>EV adoption acceleration and regulatory mandates for V2G capability creating a rising tide that lifts Nuvve's pioneering technology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Bankruptcy or Nasdaq delisting — going concern warning, $165.6M accumulated deficit, Altman Z-Score of -21.18, and two reverse stock splits in seven months signal existential financial risk [3]</w:t>
      </w:r>
    </w:p>
    <w:p>
      <w:pPr>
        <w:spacing w:before="40" w:after="40"/>
        <w:ind w:left="283"/>
      </w:pPr>
      <w:r>
        <w:rPr>
          <w:rFonts w:ascii="Calibri" w:hAnsi="Calibri"/>
          <w:b/>
          <w:color w:val="4A6B25"/>
          <w:sz w:val="20"/>
        </w:rPr>
        <w:t xml:space="preserve">2. </w:t>
      </w:r>
      <w:r>
        <w:rPr>
          <w:rFonts w:ascii="Calibri" w:hAnsi="Calibri"/>
          <w:b w:val="0"/>
          <w:color w:val="3A4A28"/>
          <w:sz w:val="20"/>
        </w:rPr>
        <w:t>Continued revenue decline despite Fermata acquisition — $4.8M FY2025 revenue declining 9.3% YoY with $30.8M net loss demonstrates the V2G market has not reached commercial viability on Nuvve's timeline</w:t>
      </w:r>
    </w:p>
    <w:p>
      <w:pPr>
        <w:spacing w:before="40" w:after="40"/>
        <w:ind w:left="283"/>
      </w:pPr>
      <w:r>
        <w:rPr>
          <w:rFonts w:ascii="Calibri" w:hAnsi="Calibri"/>
          <w:b/>
          <w:color w:val="4A6B25"/>
          <w:sz w:val="20"/>
        </w:rPr>
        <w:t xml:space="preserve">3. </w:t>
      </w:r>
      <w:r>
        <w:rPr>
          <w:rFonts w:ascii="Calibri" w:hAnsi="Calibri"/>
          <w:b w:val="0"/>
          <w:color w:val="3A4A28"/>
          <w:sz w:val="20"/>
        </w:rPr>
        <w:t>Well-capitalized competitors (Tesla, ChargePoint, utility-owned programs) entering V2G with superior scale, data, and customer bases, rendering Nuvve's first-mover IP advantage irrelevant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Nuvve's V2G platform involves both software (GIVe platform, FleetBox) and physical grid integration (charging hardware, utility interconnections, fleet depot infrastructure) that provide some protection from pure AI disruption [2]. Utility relationships, regulatory compliance, and physical charging infrastructure create barriers. However, Nuvve's core value proposition is its software platform — larger companies with superior AI capabilities (Tesla, ChargePoint, utility-owned programs) could build better V2G platforms with more data, customers, and engineering resources, making Nuvve's small-scale software advantage vulnerable. AI Opportunity (1/1): Astrea AI is integrated into FleetBox, providing AI-driven charge optimization and V2G revenue maximization for fleet customers — this qualifies as AI-powered revenue, though total revenue of only $4.8M limits the significance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Nuvve Q4 and Full Year 2025 Financial Update — Nasdaq Press Release, March 31, 2026</w:t>
      </w:r>
    </w:p>
    <w:p>
      <w:pPr>
        <w:spacing w:before="20" w:after="20"/>
        <w:ind w:left="170"/>
      </w:pPr>
      <w:r>
        <w:rPr>
          <w:rFonts w:ascii="Calibri" w:hAnsi="Calibri"/>
          <w:b/>
          <w:color w:val="4A6B25"/>
          <w:sz w:val="15"/>
        </w:rPr>
        <w:t xml:space="preserve">2. </w:t>
      </w:r>
      <w:r>
        <w:rPr>
          <w:rFonts w:ascii="Calibri" w:hAnsi="Calibri"/>
          <w:b w:val="0"/>
          <w:color w:val="3A4A28"/>
          <w:sz w:val="17"/>
        </w:rPr>
        <w:t>Nuvve V2G Technology, Fermata Energy Acquisition, AI Integration, and Leadership — nuvve.com, investors.nuvve.com,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Nuvve Nasdaq Compliance Issues, Reverse Stock Splits, and Going Concern — StockTitan, GuruFocus, Simply Wall St,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