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OBAI</w:t>
      </w:r>
      <w:r>
        <w:rPr>
          <w:rFonts w:ascii="Calibri" w:hAnsi="Calibri"/>
          <w:b/>
          <w:color w:val="1A2010"/>
          <w:sz w:val="40"/>
        </w:rPr>
        <w:t xml:space="preserve">  Our Bond, Inc.</w:t>
      </w:r>
    </w:p>
    <w:p>
      <w:pPr>
        <w:spacing w:after="120"/>
      </w:pPr>
      <w:r>
        <w:rPr>
          <w:rFonts w:ascii="Calibri" w:hAnsi="Calibri"/>
          <w:b/>
          <w:color w:val="6E8450"/>
          <w:sz w:val="18"/>
        </w:rPr>
        <w:t>GROWTH SLEEVE · 2026-07-18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Our Bond, Inc., doing business as Bond, designs, develops, and provides an AI and machine learning-based Preventative Personal Security platform, delivering real-time protective services via a mobile app, drone services, executive protection, and 24/7 Bond Command Centers staffed by Personal Security Agents. Founded in 2017 by CEO Doron Kempel, the company serves enterprises (Ralph Lauren, Apple, Disney, Roche), universities, and cities across the United States, Israel, and France, and completed a direct listing on Nasdaq on February 4, 2026.</w:t>
      </w:r>
    </w:p>
    <w:p>
      <w:r>
        <w:rPr>
          <w:rFonts w:ascii="Calibri" w:hAnsi="Calibri"/>
          <w:b/>
          <w:color w:val="6E8450"/>
          <w:sz w:val="18"/>
        </w:rPr>
        <w:t>52 Employees · https://www.ourbond.com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Bond has expanded from a consumer security concept into an enterprise, government, and university platform generating $10.07M TTM revenue (+4.3% YoY), with named enterprise customers including Ralph Lauren, Apple, Disney, and Roche, plus a new B2G2C government channel — a significant expansion of revenue streams though still small in absolute scale [1][2]. AI Deployment (2/2): The core product is natively AI-built — NLP and real-time data processing power the preventative security platform, with a track record of 10,000+ emergency interventions historically and continued enterprise/government deployments in 2026 [2]. Market Share (1/2): Blue-chip enterprise logos and a ~$100B+ TTM revenue base validate demand, and a top-5 global VC firm is introducing Bond to 1,000 portfolio companies, but the personal-security-as-a-service category remains undefined with no independent share data [2]. Product Pipeline (2/2): Concrete, dated pipeline includes a government-funded contract worth $3M+ in annual recurring revenue, a pharmaceutical enterprise deal (~$250K, expandable beyond $1M across 5,000 employees), a city contract covering 270,000+ residents, and a university deployment reaching 4,000 students — management explicitly frames the B2G2C channel as 'a multi-million-dollar revenue opportunity in 2026 alone' [2]. R&amp;D Intensity (0/1): The company has invested over $100M to date in technology and operations, but with only $10M revenue this cannot be confirmed as above-industry-average R&amp;D intensity on a relative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Bond's purpose of 'Personal Security for All' — democratizing protective services historically reserved for the wealthy — is genuine and idealistic, reinforced by founder Doron Kempel's personal narrative (elite Israeli military background, self-funding the company with an initial $16M of his own money), but the company is only 9 years old and the mission has not been tested through a multi-decade cycle [2][3]. Community Impact (1/2): New 2026 city contracts extending AI security coverage to 270,000+ residents through government purchasing programs, plus a university rollout to 4,000 students, meaningfully broaden access beyond enterprise clients, though this is commercial expansion rather than a distinct philanthropic program [2]. Employee Retention (0/2): No tenure or turnover data is available for the 52-person team, and the Head of Commercial Operations departed in June 2026 amid a stated 'commercial realignment' [4]. Insider Buying (1/2): CEO Kempel's track record of personally funding Bond with tens of millions of dollars (following two prior successful exits — Diligent Technologies to IBM and SimpliVity to HPE, totaling ~$900M) demonstrates real skin in the game, though no specific 2026 open-market insider purchase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567,948 shares x $0.5581 stock price = ~$316,952 daily dollar volume, below the $1M minimum threshold — Infrastructure score forced to 0 [1]. Underlying financials remain distressed: TTM revenue of $10.07M grew a modest 4.3%, but net loss widened to -$15.84M (profit margin of approximately -157%), and the balance sheet carries negative stockholders' equity, making D/E and ROE incalculable [1][4]. The company has been actively restructuring its capital stack — swapping promissory notes for Series G Convertible Preferred Stock and repricing warrants — reflecting an ongoing dilution and refinancing overhang, with the stock down 97.3% over the past year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Bond has a genuinely idealistic Just Cause — democratizing personal security — backed by a founder who has personally bankrolled the mission for nearly a decade. But deepening losses, negative equity, dilutive financing maneuvers (note-to-preferred swaps, warrant repricing), and a recent executive departure show a company increasingly consumed by near-term survival, tipping the overall balance into FINITE territory this cycle despite genuine long-term intent.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'Personal Security for All' envisions a more equitable future where protective services are not reserved for the wealthy, and new 2026 city/government contracts covering 270,000+ residents provide real evidence the cause is being lived out beyond enterprise clients — but at 9 years old and still financially fragile, the cause has not been tested across the multi-decade horizon Sinek requires for the top score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tenure, turnover, or culture data is available for the 52-person team, and the Head of Commercial Operations departed in June 2026 amid a stated commercial realignment — combined with the company's financial distress, there is no positive evidence to support a high-trust designation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Bond positions itself as creating an entirely new 'AI-powered preventative personal security' category rather than framing established security or safety-tech competitors as worthy rivals whose strengths sharpen its own strategy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Bond has evolved its go-to-market from a consumer app to enterprise deployments and now a B2G2C government/city channel generating multi-million-dollar contract opportunities, showing continued willingness to adapt the business model in service of the broader mission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Doron Kempel has sustained Bond through nearly a decade of losses with over $100M invested to date, continuing to expand into government and university channels even as the company restructures debt and dilutes shareholders — real long-term conviction, though the financing distress increasingly blurs the line between courage and necessity [2][3][4].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Our Bond's AI-native personal security platform continues to win notable enterprise and public-sector business: a government-funded contract worth over $3M in annual recurring revenue, a city deployment covering 270,000+ residents, a university rollout to 4,000 students, and a top-5 global VC firm introducing Bond to 1,000 portfolio companies [2]. TTM revenue of $10.07M grew 4.3% YoY, and founder Doron Kempel — with two prior successful exits (Diligent Technologies to IBM, SimpliVity to HPE, ~$900M combined) — has personally funded the company for nearly a decade, reflecting real conviction in the long-term vision of democratizing personal security [3]. AI Resilience is exceptional: the company's entire revenue base is AI-native, meaning it cannot be disrupted by the technology it is built on.</w:t>
      </w:r>
    </w:p>
    <w:p>
      <w:pPr>
        <w:spacing w:after="120"/>
      </w:pPr>
      <w:r>
        <w:rPr>
          <w:rFonts w:ascii="Calibri" w:hAnsi="Calibri"/>
          <w:b w:val="0"/>
          <w:color w:val="3A4A28"/>
          <w:sz w:val="20"/>
        </w:rPr>
        <w:t>The bear case is severe and immediate. Net loss widened to -$15.84M against $10.07M revenue (a profit margin near -157%), the balance sheet shows negative stockholders' equity, and the company has been actively restructuring its capital stack — swapping notes for Series G Convertible Preferred Stock and repricing warrants — signaling real financing distress [1][4]. The stock has fallen 97.3% over the past year to $0.5581, and average daily dollar volume of roughly $316,952 sits well below the IOWN $1M liquidity floor, forcing Infrastructure to zero regardless of operational progress. The June 2026 departure of the Head of Commercial Operations, filed alongside a 10M-share resale registration, adds execution and dilution risk on top of the existing financing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$3M+ ARR government contract and 270,000-resident city deployment into recognized recurring revenue, validating the B2G2C channel management calls 'a multi-million-dollar opportunity in 2026 alone'</w:t>
      </w:r>
    </w:p>
    <w:p>
      <w:pPr>
        <w:spacing w:before="40" w:after="40"/>
        <w:ind w:left="283"/>
      </w:pPr>
      <w:r>
        <w:rPr>
          <w:rFonts w:ascii="Calibri" w:hAnsi="Calibri"/>
          <w:b/>
          <w:color w:val="4A6B25"/>
          <w:sz w:val="20"/>
        </w:rPr>
        <w:t xml:space="preserve">2. </w:t>
      </w:r>
      <w:r>
        <w:rPr>
          <w:rFonts w:ascii="Calibri" w:hAnsi="Calibri"/>
          <w:b w:val="0"/>
          <w:color w:val="3A4A28"/>
          <w:sz w:val="20"/>
        </w:rPr>
        <w:t>Expansion of the top-5 VC firm's introduction of Bond to 1,000 portfolio companies into signed enterprise contracts beyond the current Ralph Lauren, Apple, Disney, and Roche relationships</w:t>
      </w:r>
    </w:p>
    <w:p>
      <w:pPr>
        <w:spacing w:before="40" w:after="40"/>
        <w:ind w:left="283"/>
      </w:pPr>
      <w:r>
        <w:rPr>
          <w:rFonts w:ascii="Calibri" w:hAnsi="Calibri"/>
          <w:b/>
          <w:color w:val="4A6B25"/>
          <w:sz w:val="20"/>
        </w:rPr>
        <w:t xml:space="preserve">3. </w:t>
      </w:r>
      <w:r>
        <w:rPr>
          <w:rFonts w:ascii="Calibri" w:hAnsi="Calibri"/>
          <w:b w:val="0"/>
          <w:color w:val="3A4A28"/>
          <w:sz w:val="20"/>
        </w:rPr>
        <w:t>Achieving management's targeted breakeven in late 2026 or early 2027, which would remove the dilution overhang from the current note-and-warrant restructuring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Sub-$1M daily liquidity (~$316,952) triggers the IOWN hard liquidity floor, forcing Infrastructure to zero and making the stock effectively untradeable at institutional scale regardless of business progress</w:t>
      </w:r>
    </w:p>
    <w:p>
      <w:pPr>
        <w:spacing w:before="40" w:after="40"/>
        <w:ind w:left="283"/>
      </w:pPr>
      <w:r>
        <w:rPr>
          <w:rFonts w:ascii="Calibri" w:hAnsi="Calibri"/>
          <w:b/>
          <w:color w:val="4A6B25"/>
          <w:sz w:val="20"/>
        </w:rPr>
        <w:t xml:space="preserve">2. </w:t>
      </w:r>
      <w:r>
        <w:rPr>
          <w:rFonts w:ascii="Calibri" w:hAnsi="Calibri"/>
          <w:b w:val="0"/>
          <w:color w:val="3A4A28"/>
          <w:sz w:val="20"/>
        </w:rPr>
        <w:t>Ongoing dilution and refinancing risk from negative stockholders' equity, Series G Convertible Preferred note swaps, warrant repricing, and a newly filed 10M-share resale registration</w:t>
      </w:r>
    </w:p>
    <w:p>
      <w:pPr>
        <w:spacing w:before="40" w:after="40"/>
        <w:ind w:left="283"/>
      </w:pPr>
      <w:r>
        <w:rPr>
          <w:rFonts w:ascii="Calibri" w:hAnsi="Calibri"/>
          <w:b/>
          <w:color w:val="4A6B25"/>
          <w:sz w:val="20"/>
        </w:rPr>
        <w:t xml:space="preserve">3. </w:t>
      </w:r>
      <w:r>
        <w:rPr>
          <w:rFonts w:ascii="Calibri" w:hAnsi="Calibri"/>
          <w:b w:val="0"/>
          <w:color w:val="3A4A28"/>
          <w:sz w:val="20"/>
        </w:rPr>
        <w:t>Deepening losses (-$15.84M net loss, ~-157% profit margin) against still-modest 4.3% revenue growth raise real questions about the path to management's late-2026/early-2027 breakeven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Bond's entire business model IS AI-powered preventative personal security — the platform cannot be disrupted by AI because AI advances (better NLP, faster real-time threat processing) directly enhance the product rather than substitute for it, and the human-in-the-loop Bond Command Center agents add a physical-response layer that pure software cannot replicate [2]. Continued wins with blue-chip enterprises (Ralph Lauren, Apple, Disney, Roche) and new government/city contracts in 2026 reinforce that demand for the category is growing, not eroding. AI Opportunity (1/1): 100% of Bond's revenue is generated from its AI/ML-powered security platform — there is no legacy, non-AI business line to erode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OBAI Financial Metrics, Statistics, and Company Profile,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StockTitan / Investing.com / StreetInsider — 'Bond files annual report, reports $10M revenue and enterprise expansion'; 'Bond Awarded Government-Funded Contract... More Than $3 Million In Annual Recurring Revenue'; 'Our Bond wins city contract to cover 270,000 residents'; 'Our Bond brings AI security platform to 4,000 at international university'; 'Top-5 Global Venture Capital Firm Selects Bond,' 2026</w:t>
      </w:r>
    </w:p>
    <w:p>
      <w:pPr>
        <w:spacing w:before="20" w:after="20"/>
        <w:ind w:left="170"/>
      </w:pPr>
      <w:r>
        <w:rPr>
          <w:rFonts w:ascii="Calibri" w:hAnsi="Calibri"/>
          <w:b/>
          <w:color w:val="4A6B25"/>
          <w:sz w:val="15"/>
        </w:rPr>
        <w:t xml:space="preserve">3. </w:t>
      </w:r>
      <w:r>
        <w:rPr>
          <w:rFonts w:ascii="Calibri" w:hAnsi="Calibri"/>
          <w:b w:val="0"/>
          <w:color w:val="3A4A28"/>
          <w:sz w:val="17"/>
        </w:rPr>
        <w:t>Forbes — 'This Ex-Israeli Commando Is Betting $16 Million Of His Own Money...,' 2020; Doron Kempel biography, Wikipedia and Kingscrowd,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StocksToTrade — 'Our Bond swaps notes for Series G preferred and eases loan terms'; 'OBAI Stock Pops On Volume As Traders Eye Debt-Fueled Runway'; Michael Lambert departure 8-K,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