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OCG</w:t>
      </w:r>
      <w:r>
        <w:rPr>
          <w:rFonts w:ascii="Calibri" w:hAnsi="Calibri"/>
          <w:b/>
          <w:color w:val="1A2010"/>
          <w:sz w:val="40"/>
        </w:rPr>
        <w:t xml:space="preserve">  Oriental Culture Holding LTD</w:t>
      </w:r>
    </w:p>
    <w:p>
      <w:pPr>
        <w:spacing w:after="120"/>
      </w:pPr>
      <w:r>
        <w:rPr>
          <w:rFonts w:ascii="Calibri" w:hAnsi="Calibri"/>
          <w:b/>
          <w:color w:val="6E8450"/>
          <w:sz w:val="18"/>
        </w:rPr>
        <w:t>GROWTH SLEEVE · 2026-07-18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Hong Kong</w:t>
      </w:r>
    </w:p>
    <w:p>
      <w:pPr>
        <w:spacing w:after="80"/>
      </w:pPr>
      <w:r>
        <w:rPr>
          <w:rFonts w:ascii="Calibri" w:hAnsi="Calibri"/>
          <w:b w:val="0"/>
          <w:color w:val="3A4A28"/>
          <w:sz w:val="20"/>
        </w:rPr>
        <w:t>Oriental Culture Holding operates an online platform facilitating e-commerce trading of artwork, collectibles, and commodities primarily in China and Hong Kong. The company marked its fifth Nasdaq listing anniversary with a special cash dividend in January 2026 and executed a 1-for-220 reverse stock split. Incorporated in 2018 and headquartered in Hong Kong, the company's employee count has fallen from 33 to 13 and active traders on its platform have collapsed from 15,124 to 4,504 following a prior investigation the company says harmed customer confidence.</w:t>
      </w:r>
    </w:p>
    <w:p>
      <w:r>
        <w:rPr>
          <w:rFonts w:ascii="Calibri" w:hAnsi="Calibri"/>
          <w:b/>
          <w:color w:val="6E8450"/>
          <w:sz w:val="18"/>
        </w:rPr>
        <w:t>13 Employees · https://www.ocgroup.hk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Full-year 2025 revenue of $1.89M (+203.3% YoY) looks strong off an extremely small $622,690 base, but H1 2025 interim revenue actually collapsed 68.4% YoY to ~$0.1M with net loss widening to $3.8M, and active platform traders fell from 15,124 to 4,504 following a prior investigation the company itself says materially harmed customer confidence [1][2]. This is not a sustainable growth pattern — it is a volatile, shrinking business. AI Deployment (0/2): No evidence of any AI product, tool, or strategy. Market Share (0/2): Active trader collapse indicates share loss, not gain, in an already-niche category. Pipeline (0/2): No specific next-generation product or platform initiative was found in current research; the previously discussed Wine and Spirits metaverse project surfaced no new developments. R&amp;D Intensity (0/1): A 13-person company (down from 33) shows no evidence of meaningful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ambition to be a 'dominant, innovative leader in digital collectibles e-commerce' remains generic and disconnected from a business generating under $2M in annual revenue [1]. Community Impact (0/2): No charitable programs or community investment found. Employee Retention (0/2): Headcount has fallen from 33 to 13 employees, a nearly 60% reduction, signaling organizational instability rather than a stable, mission-driven team. Insider Buying (0/2): The prior issuance of 12 million preferred shares carrying 15 votes each concentrates control in leadership's hands but is not evidence of open-market insider buying or shareholder-aligned conviction; no net insider purchase activity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just 27,670 shares x $1.45 stock price = ~$40,122 daily dollar volume, dramatically below the $1M minimum threshold — Infrastructure score forced to 0 [1]. The company sits on $35.34M cash against total liabilities of only ~$1.89M (D/E near 0%) and a $2.81M market cap — an extreme discount to net cash that would ordinarily be a value signal, but is instead a reflection of near-total market distrust in the operating business and its governance [2]. ROE of approximately -6.0% and profit margin of roughly -204% (net loss of $3.86M on $1.89M revenue) confirm the core business destroys value even before considering the liquidity problem.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Oriental Culture Holding shows no evidence of infinite-game thinking. The company's recent actions — a special cash dividend tied to a Nasdaq listing anniversary, a 1-for-220 reverse split, a shrinking workforce, and a collapsing active-trader base following a reputational investigation — read as a company managing decline and compliance rather than building toward a Just Cause. Governance is concentrated through super-voting preferred shares rather than distributed trust.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 genuine cause beyond stated market-leadership ambitions; recent corporate actions (special dividend, reverse split, capital structure changes) center on financial engineering and Nasdaq compliance rather than any vision of value created for customers or society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count has fallen from 33 to 13, and control is concentrated through 12 million super-voting preferred shares (15 votes each) — both signal an organization oriented around leadership control and survival rather than psychological safety or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Oriental Culture references or learns from competitors; available communications focus on capital structure and shareholder returns rather than competitive positioning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coherent strategic pivot was found this cycle — the previously floated Wine and Spirits metaverse initiative produced no updates, and the core e-commerce business continues to shrink without a clear replacement strategy.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Leadership's actions — a special dividend timed to a listing anniversary and a reverse split to manage share price optics — reflect short-term financial management rather than any sacrifice of near-term results for long-term capability building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Oriental Culture Holding trades at an extreme discount to its balance sheet — a $2.81M market cap against $35.34M in cash and only ~$1.89M in total liabilities — which on paper represents a deep value opportunity if the operating business could be stabilized or the company were liquidated or acquired [1][2]. The board's decision to pay a special cash dividend to mark the company's fifth Nasdaq anniversary demonstrates some willingness to return capital to shareholders, and the debt-free balance sheet provides theoretical optionality for a turnaround or strategic pivot.</w:t>
      </w:r>
    </w:p>
    <w:p>
      <w:pPr>
        <w:spacing w:after="120"/>
      </w:pPr>
      <w:r>
        <w:rPr>
          <w:rFonts w:ascii="Calibri" w:hAnsi="Calibri"/>
          <w:b w:val="0"/>
          <w:color w:val="3A4A28"/>
          <w:sz w:val="20"/>
        </w:rPr>
        <w:t>The bear case dominates almost entirely. Revenue of $1.89M is a rounding error for a Nasdaq-listed company, and the headline 203% YoY growth masks a business in active decline — H1 2025 revenue fell 68.4% YoY and net loss widened to $3.8M as active platform traders collapsed from 15,124 to 4,504 following a prior investigation the company itself says damaged customer confidence [2]. Employee count has nearly halved (33 to 13), and the company's 1-for-220 reverse split and concentration of voting control in 12 million super-voting preferred shares reflect a company optimizing for compliance and control rather than value creation. Average daily dollar volume of just ~$40,122 sits nearly 25x below the IOWN $1M liquidity floor, making the stock effectively untradeable and forcing Infrastructure to zero regardless of the cash-rich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strategic transaction (acquisition, merger, or liquidation) that could realize the deep discount between the $2.81M market cap and $35.34M cash balance for shareholders</w:t>
      </w:r>
    </w:p>
    <w:p>
      <w:pPr>
        <w:spacing w:before="40" w:after="40"/>
        <w:ind w:left="283"/>
      </w:pPr>
      <w:r>
        <w:rPr>
          <w:rFonts w:ascii="Calibri" w:hAnsi="Calibri"/>
          <w:b/>
          <w:color w:val="4A6B25"/>
          <w:sz w:val="20"/>
        </w:rPr>
        <w:t xml:space="preserve">2. </w:t>
      </w:r>
      <w:r>
        <w:rPr>
          <w:rFonts w:ascii="Calibri" w:hAnsi="Calibri"/>
          <w:b w:val="0"/>
          <w:color w:val="3A4A28"/>
          <w:sz w:val="20"/>
        </w:rPr>
        <w:t>Restoration of customer confidence and active-trader growth following the reputational damage from the prior investigation, reversing the collapse from 15,124 to 4,504 active traders</w:t>
      </w:r>
    </w:p>
    <w:p>
      <w:pPr>
        <w:spacing w:before="40" w:after="40"/>
        <w:ind w:left="283"/>
      </w:pPr>
      <w:r>
        <w:rPr>
          <w:rFonts w:ascii="Calibri" w:hAnsi="Calibri"/>
          <w:b/>
          <w:color w:val="4A6B25"/>
          <w:sz w:val="20"/>
        </w:rPr>
        <w:t xml:space="preserve">3. </w:t>
      </w:r>
      <w:r>
        <w:rPr>
          <w:rFonts w:ascii="Calibri" w:hAnsi="Calibri"/>
          <w:b w:val="0"/>
          <w:color w:val="3A4A28"/>
          <w:sz w:val="20"/>
        </w:rPr>
        <w:t>Additional special dividends or capital returns funded from the large cash balance, providing some yield support for remaining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e-commerce business is shrinking and unprofitable — H1 2025 revenue fell 68.4% YoY with net loss widening to $3.8M, and active traders have collapsed by over two-thirds</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average daily dollar volume of ~$40,122 is roughly 25x below the IOWN $1M threshold, meaning the stock cannot be traded at any meaningful scale without severe price impact</w:t>
      </w:r>
    </w:p>
    <w:p>
      <w:pPr>
        <w:spacing w:before="40" w:after="40"/>
        <w:ind w:left="283"/>
      </w:pPr>
      <w:r>
        <w:rPr>
          <w:rFonts w:ascii="Calibri" w:hAnsi="Calibri"/>
          <w:b/>
          <w:color w:val="4A6B25"/>
          <w:sz w:val="20"/>
        </w:rPr>
        <w:t xml:space="preserve">3. </w:t>
      </w:r>
      <w:r>
        <w:rPr>
          <w:rFonts w:ascii="Calibri" w:hAnsi="Calibri"/>
          <w:b w:val="0"/>
          <w:color w:val="3A4A28"/>
          <w:sz w:val="20"/>
        </w:rPr>
        <w:t>Governance concentration via 12 million super-voting preferred shares (15 votes each) limits minority shareholders' ability to influence capital allocation decisions, including how the $35.34M cash balance is ultimately deployed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Oriental Culture's collectibles and artwork e-commerce platform faces structural AI disruption risk from AI-powered authentication, image recognition, and algorithmic pricing tools that larger platforms (Alibaba, Taobao, eBay) can deploy at far greater scale, while the company's collapsing active-trader base (15,124 to 4,504) shows it is already losing the trust battle independent of AI [1][2]. The tiny 13-person team has no visible capacity to build defensive AI capabilities. AI Opportunity (0/1): No evidence of any AI-powered product or AI-driven revenue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OCG Financial Metrics, Statistics, and Company Profile,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StockTitan / TipRanks — Oriental Culture Holding special cash dividend announcement, H1 2025 results, active trader decline, 2026</w:t>
      </w:r>
    </w:p>
    <w:p>
      <w:pPr>
        <w:spacing w:before="20" w:after="20"/>
        <w:ind w:left="170"/>
      </w:pPr>
      <w:r>
        <w:rPr>
          <w:rFonts w:ascii="Calibri" w:hAnsi="Calibri"/>
          <w:b/>
          <w:color w:val="4A6B25"/>
          <w:sz w:val="15"/>
        </w:rPr>
        <w:t xml:space="preserve">3. </w:t>
      </w:r>
      <w:r>
        <w:rPr>
          <w:rFonts w:ascii="Calibri" w:hAnsi="Calibri"/>
          <w:b w:val="0"/>
          <w:color w:val="3A4A28"/>
          <w:sz w:val="17"/>
        </w:rPr>
        <w:t>SEC Form 20-F (FY2025) and Form 6-K filings, Oriental Culture Holding LTD,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The Globe and Mail / Longbridge — 'Oriental Culture Holding Announces 1-for-220 Reverse Split and Special Dividend,' 2026</w:t>
      </w:r>
    </w:p>
    <w:p>
      <w:pPr>
        <w:spacing w:before="20" w:after="20"/>
        <w:ind w:left="170"/>
      </w:pPr>
      <w:r>
        <w:rPr>
          <w:rFonts w:ascii="Calibri" w:hAnsi="Calibri"/>
          <w:b/>
          <w:color w:val="4A6B25"/>
          <w:sz w:val="15"/>
        </w:rPr>
        <w:t xml:space="preserve">5. </w:t>
      </w:r>
      <w:r>
        <w:rPr>
          <w:rFonts w:ascii="Calibri" w:hAnsi="Calibri"/>
          <w:b w:val="0"/>
          <w:color w:val="3A4A28"/>
          <w:sz w:val="17"/>
        </w:rPr>
        <w:t>FinanceCharts.com / Investing.com — OCG Balance Sheet, cash and liabilities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