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OPCH</w:t>
      </w:r>
      <w:r>
        <w:rPr>
          <w:rFonts w:ascii="Calibri" w:hAnsi="Calibri"/>
          <w:b/>
          <w:color w:val="1A2010"/>
          <w:sz w:val="40"/>
        </w:rPr>
        <w:t xml:space="preserve">  Option Care Health, Inc.</w:t>
      </w:r>
    </w:p>
    <w:p>
      <w:pPr>
        <w:spacing w:after="120"/>
      </w:pPr>
      <w:r>
        <w:rPr>
          <w:rFonts w:ascii="Calibri" w:hAnsi="Calibri"/>
          <w:b/>
          <w:color w:val="6E8450"/>
          <w:sz w:val="18"/>
        </w:rPr>
        <w:t>GROWTH SLEEVE · 2026-07-21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NASDAQ · United States</w:t>
      </w:r>
    </w:p>
    <w:p>
      <w:pPr>
        <w:spacing w:after="80"/>
      </w:pPr>
      <w:r>
        <w:rPr>
          <w:rFonts w:ascii="Calibri" w:hAnsi="Calibri"/>
          <w:b w:val="0"/>
          <w:color w:val="3A4A28"/>
          <w:sz w:val="20"/>
        </w:rPr>
        <w:t>Option Care Health is the largest independent home and alternate site infusion services provider in the United States, delivering complex pharmaceutical therapies including immunoglobulin, anti-infective, nutrition support, bleeding disorder, and other specialty infusion treatments through a national network of pharmacies and infusion suites. The company served over 315,000 unique patients in 2025. Headquartered in Bannockburn, Illinois.</w:t>
      </w:r>
    </w:p>
    <w:p>
      <w:r>
        <w:rPr>
          <w:rFonts w:ascii="Calibri" w:hAnsi="Calibri"/>
          <w:b/>
          <w:color w:val="6E8450"/>
          <w:sz w:val="18"/>
        </w:rPr>
        <w:t>7,000 Employees · https://www.optioncarehealth.com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Option Care grew revenue from $3.44B (2021) to $5.65B (2025), a 64% increase over four years driven by organic expansion and the secular site-of-care shift from hospital to home infusion [1][5]. However, Q1 2026 revenue growth decelerated sharply to 1.3% YoY ($1,350.7M), and the company trimmed full-year guidance from $5.8-6.0B to $5.675-5.775B due to chronic inflammatory disease portfolio headwinds [1]. The fundamental business model remains the same — no transformative pivot. AI Deployment (1/2): The company selected Palantir's Foundry and AIP platform for enterprise-wide digital transformation to streamline processes, enhance clinical outcomes, and optimize operations — a real AI deployment with a credible technology partner, though still in early implementation with no quantified savings reported [5]. Market Share (2/2): Option Care is the largest independent home and alternate site infusion provider in the U.S., serving 315,000+ unique patients in 2025 and benefiting from the structural shift away from hospital-based infusion as payers push for lower-cost care settings [1][3]. Product Pipeline (1/2): Acute revenue is growing at high single digits, and the company is expanding its infusion clinic network to capture ambulatory patients. However, specific next-gen products or services with named timelines are limited [1]. R&amp;D Intensity (0/1): Infusion services is operationally intensive rather than R&amp;D-intensive; the Palantir partnership represents technology investment, but formal R&amp;D spending as a percentage of revenue is minimal.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Option Care Health's mission is to 'transform healthcare by providing innovative services that improve outcomes, reduce costs and deliver hope for patients and their families' [3]. This is specific and thoughtful — it connects the company's work to a larger purpose (delivering hope, not just medication), differentiates from hospital-centric peers, and reflects genuine intentionality about making healthcare more accessible. The company has lived this mission through consistent investment in expanding home infusion access for 315,000+ patients annually. Community Impact (1/2): The company's core service delivery model inherently serves community health by enabling chronically ill patients to receive complex therapies at home rather than in hospital settings, improving quality of life. However, no specific charitable foundation, community investment programs, or dollar amounts for philanthropic activity were identified [3]. Employee Retention (1/2): CEO John Rademacher has led the company since 2018 (8+ year tenure), providing stable executive leadership through significant growth and transformation. New CFO Meenal Sethna (October 2025, ex-Littelfuse) brings operational finance expertise [4]. The company employs 7,000+ teammates including 4,500 clinicians. No specific employee turnover or tenure data is publicly reported. Insider Buying (1/2): In August 2025, multiple directors made meaningful purchases — board member Harry Jansen Kraemer bought 36,000 shares ($977K), Timothy Sullivan purchased 20,000 shares, David Golding added 1,000 shares, and Carter Pate acquired shares, totaling approximately $1.6M in insider buying [4]. While not CEO-level purchases, these represent genuine board conviction at the time.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Option Care's infrastructure is powered by strong valuation metrics after the stock's 24% decline since the previous screen. Forward P/E of 12.21 is well below the 20 target, and PEG of 1.22 reflects reasonable pricing relative to expected growth [2]. ROE of 15.3% hits the 15% target, demonstrating capital efficiency despite the thin-margin business model [2]. D/E of 94% is above the 70% target but well within manageable levels, with an $850M revolver expanded and $846M available as of Q1 2026 [1]. The 5-year revenue CAGR of approximately 10.5% ($3.44B to $5.67B TTM) meets the growth target. However, Q1 2026 revenue grew only 1.3% YoY, a sharp deceleration from 13% in FY2025, driven by chronic inflammatory disease portfolio dynamics expected to reduce 2026 gross profit by approximately $55M [1]. Profit margin of 3.64% remains the key structural weakness — reflecting the distribution-intensive nature of specialty pharmacy [2]. Adjusted EBITDA guidance of $480-505M for 2026 and operating cash flow target of at least $320M demonstrate solid cash generation. Liquidity floor easily cleared: 1.75M avg vol x $21.73 = $38.0M daily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Option Care Health delivers essential healthcare services with a genuine patient-centered mission that has been lived out through consistent expansion of home infusion access to 315,000+ patients annually. CEO Rademacher's 8-year tenure provides stable leadership, and the company's transparent communication about headwinds (guidance reduction, chronic therapy dynamics) reflects integrity. However, the company's strategic orientation remains primarily operational and financial, and the recent guidance cut plus securities law investigations create uncertainty about execution consistency.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Option Care's purpose — transforming healthcare by bringing complex infusion therapy to patients in their homes, delivering hope to patients and families — is genuine and connects the business to a meaningful healthcare outcome [3]. The company's consistent investment in expanding home infusion access (315,000+ patients served in 2025) shows the cause is partially lived. CEO Rademacher's 8-year tenure demonstrates commitment. However, the company was formed through the 2019 BioScrip merger and has not yet been tested through crisis or validated over decades of consistent execution in its current form.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Rademacher has provided stable leadership since 2018, and the orderly CFO transition to Meenal Sethna (October 2025) demonstrates organizational maturity [4]. The company employs 7,000+ teammates including 4,500 clinicians, and the values framework (One Team, creates belonging, seeks diverse perspectives) suggests intentionality about culture [3]. However, no specific employee satisfaction, tenure, or turnover data is publicly available that would confirm exceptional trust 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Option Care positions itself as the 'largest independent' infusion provider, emphasizing scale and market leadership over learning from competitors. No evidence in management commentary of acknowledging rivals' strengths (CVS Coram, Optum infusion services) or using competitive pressure as motivation for self-improvement [1]. The competitive language focuses on market share capture and category leadership rather than an infinite mindset of self-improvement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2019 BioScrip merger was transformative, creating the largest independent home infusion provider from two complementary platforms. The expansion from chronic to acute therapies and the buildout of ambulatory infusion clinics represent meaningful strategic evolution [1]. The Palantir AI partnership shows willingness to adopt new technology. However, the core business model remains fundamentally the same — infusion pharmacy services — and the growth has been driven by industry tailwinds (site-of-care shift) rather than self-directed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has shown courage through transparent communication — proactively disclosing the $55M chronic inflammatory disease gross profit headwind and trimming 2026 guidance from $5.8-6.0B to $5.675-5.775B rather than over-promising [1]. The company continues to invest in clinic expansion and the Palantir technology partnership despite near-term margin pressure [5]. However, no evidence of costly long-term bets or walking away from profitable but misaligned businesses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Option Care Health is the largest independent home infusion provider in the U.S. with $5.67B TTM revenue, now trading at an attractive 12.2x forward P/E and 1.22 PEG ratio after a 24% stock decline since early 2026 [2]. The company benefits from the secular site-of-care shift as payers push infusion therapy from hospitals ($300+/hour) to home settings ($100-150/hour), a structural tailwind with multiple years of runway. ROE of 15.3% demonstrates capital efficiency, and the 5-year revenue CAGR of 10.5% shows sustained growth execution [2]. Q1 2026 GAAP EPS of $0.29 beat consensus by 3.6%, and 2026 adjusted EPS guidance of $1.82-$1.92 implies meaningful earnings growth ahead [1]. The Palantir AI partnership for enterprise-wide digital transformation positions the company to optimize clinical operations, and adjusted EBITDA guidance of $480-505M with operating cash flow of at least $320M demonstrate solid cash generation. Director insider buying of approximately $1.6M in August 2025 signals board conviction in long-term value [4].</w:t>
      </w:r>
    </w:p>
    <w:p>
      <w:pPr>
        <w:spacing w:after="120"/>
      </w:pPr>
      <w:r>
        <w:rPr>
          <w:rFonts w:ascii="Calibri" w:hAnsi="Calibri"/>
          <w:b w:val="0"/>
          <w:color w:val="3A4A28"/>
          <w:sz w:val="20"/>
        </w:rPr>
        <w:t>The bear case centers on decelerating growth, margin fragility, and governance headwinds. Q1 2026 revenue grew only 1.3% — a dramatic deceleration from 13% in FY2025 — and management trimmed full-year guidance from $5.8-6.0B to $5.675-5.775B due to chronic inflammatory disease portfolio dynamics expected to reduce gross profit by approximately $55M [1]. The guidance cut triggered securities law investigations, creating legal overhang. Profit margin of only 3.64% leaves almost no room for execution errors — drug pricing pressure, payer reimbursement cuts, or supply chain disruptions could quickly turn profits negative [2]. D/E of 94% is elevated for a thin-margin business, creating balance sheet vulnerability if earnings deteriorate. Competition from CVS Health's Coram division and UnitedHealth's Optum infusion services brings scale advantages that could compress margins further. The stock's 24% decline since early 2026 reflects the market's reassessment of the growth trajectory, and further multiple compression is possible if Q2 2026 results do not stabilize the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site-of-care shift from hospital to home infusion driven by payer cost pressures and patient preference, expanding Option Care's addressable market by mid-single digits annually [1]</w:t>
      </w:r>
    </w:p>
    <w:p>
      <w:pPr>
        <w:spacing w:before="40" w:after="40"/>
        <w:ind w:left="283"/>
      </w:pPr>
      <w:r>
        <w:rPr>
          <w:rFonts w:ascii="Calibri" w:hAnsi="Calibri"/>
          <w:b/>
          <w:color w:val="4A6B25"/>
          <w:sz w:val="20"/>
        </w:rPr>
        <w:t xml:space="preserve">2. </w:t>
      </w:r>
      <w:r>
        <w:rPr>
          <w:rFonts w:ascii="Calibri" w:hAnsi="Calibri"/>
          <w:b w:val="0"/>
          <w:color w:val="3A4A28"/>
          <w:sz w:val="20"/>
        </w:rPr>
        <w:t>Acute therapy portfolio growing at high single digits, diversifying revenue mix away from the chronic inflammatory therapies facing biosimilar headwinds [1]</w:t>
      </w:r>
    </w:p>
    <w:p>
      <w:pPr>
        <w:spacing w:before="40" w:after="40"/>
        <w:ind w:left="283"/>
      </w:pPr>
      <w:r>
        <w:rPr>
          <w:rFonts w:ascii="Calibri" w:hAnsi="Calibri"/>
          <w:b/>
          <w:color w:val="4A6B25"/>
          <w:sz w:val="20"/>
        </w:rPr>
        <w:t xml:space="preserve">3. </w:t>
      </w:r>
      <w:r>
        <w:rPr>
          <w:rFonts w:ascii="Calibri" w:hAnsi="Calibri"/>
          <w:b w:val="0"/>
          <w:color w:val="3A4A28"/>
          <w:sz w:val="20"/>
        </w:rPr>
        <w:t>Palantir AI platform deployment reaching maturation — quantified cost savings or clinical outcome improvements from the AI deployment could re-rate the stock and demonstrate operational leverage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Chronic inflammatory disease portfolio dynamics reducing 2026 gross profit by approximately $55M, with potential for additional biosimilar-driven headwinds in future years as more therapies lose patent protection [1]</w:t>
      </w:r>
    </w:p>
    <w:p>
      <w:pPr>
        <w:spacing w:before="40" w:after="40"/>
        <w:ind w:left="283"/>
      </w:pPr>
      <w:r>
        <w:rPr>
          <w:rFonts w:ascii="Calibri" w:hAnsi="Calibri"/>
          <w:b/>
          <w:color w:val="4A6B25"/>
          <w:sz w:val="20"/>
        </w:rPr>
        <w:t xml:space="preserve">2. </w:t>
      </w:r>
      <w:r>
        <w:rPr>
          <w:rFonts w:ascii="Calibri" w:hAnsi="Calibri"/>
          <w:b w:val="0"/>
          <w:color w:val="3A4A28"/>
          <w:sz w:val="20"/>
        </w:rPr>
        <w:t>Thin profit margin (3.64%) leaves minimal buffer — a 1% margin compression would eliminate over 25% of net income, and drug pricing pressure from payer reimbursement negotiations is ongoing [2]</w:t>
      </w:r>
    </w:p>
    <w:p>
      <w:pPr>
        <w:spacing w:before="40" w:after="40"/>
        <w:ind w:left="283"/>
      </w:pPr>
      <w:r>
        <w:rPr>
          <w:rFonts w:ascii="Calibri" w:hAnsi="Calibri"/>
          <w:b/>
          <w:color w:val="4A6B25"/>
          <w:sz w:val="20"/>
        </w:rPr>
        <w:t xml:space="preserve">3. </w:t>
      </w:r>
      <w:r>
        <w:rPr>
          <w:rFonts w:ascii="Calibri" w:hAnsi="Calibri"/>
          <w:b w:val="0"/>
          <w:color w:val="3A4A28"/>
          <w:sz w:val="20"/>
        </w:rPr>
        <w:t>Securities law investigations following the Q1 2026 guidance cut create legal costs and management distraction, with potential for shareholder litigation that could weigh on the stock beyond the fundamental business impact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Home and alternate site infusion services are fundamentally physical-world healthcare delivery — registered nurses travel to patients' homes, mix and administer IV medications, monitor for adverse reactions, and manage complex therapy protocols [1][3]. AI cannot replace the hands-on clinical work of infusion nursing, the cold-chain pharmacy logistics, or the regulatory compliance (state pharmacy licensing, controlled substance handling) that underpin the business. The site-of-care shift trend (hospital to home) is structurally driven by payer cost pressures and patient preference, not technology substitution. AI may enhance operational efficiency (Palantir deployment) but poses zero substitution risk to the core service delivery. AI Opportunity (0/1): The Palantir Foundry and AIP platform deployment for enterprise-wide digital transformation is in early stages with no quantified revenue contribution or cost savings reported yet. While promising as an efficiency enabler, this is not yet generating measurable AI-specific revenue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Option Care Health Q1 2026 Earnings Release — Net Revenue $1,350.7M (up 1.3%), EPS $0.29 (up 3.6%), Adjusted EBITDA $104.8M, 2026 Guidance Trimmed to $5.675-5.775B Revenue</w:t>
      </w:r>
    </w:p>
    <w:p>
      <w:pPr>
        <w:spacing w:before="20" w:after="20"/>
        <w:ind w:left="170"/>
      </w:pPr>
      <w:r>
        <w:rPr>
          <w:rFonts w:ascii="Calibri" w:hAnsi="Calibri"/>
          <w:b/>
          <w:color w:val="4A6B25"/>
          <w:sz w:val="15"/>
        </w:rPr>
        <w:t xml:space="preserve">2. </w:t>
      </w:r>
      <w:r>
        <w:rPr>
          <w:rFonts w:ascii="Calibri" w:hAnsi="Calibri"/>
          <w:b w:val="0"/>
          <w:color w:val="3A4A28"/>
          <w:sz w:val="17"/>
        </w:rPr>
        <w:t>Yahoo Finance — OPCH Key Statistics: $21.73 price, 12.21 Forward P/E, 1.22 PEG, 15.3% ROE, 94% D/E,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Option Care Health Corporate Website — Leadership Team, Mission, About,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SEC Form 4 / TipRanks — Director Insider Buying August 2025: Kraemer 36K shares ($977K), Sullivan 20K shares, Golding 1K shares, total ~$1.6M; Securities Law Investigations</w:t>
      </w:r>
    </w:p>
    <w:p>
      <w:pPr>
        <w:spacing w:before="20" w:after="20"/>
        <w:ind w:left="170"/>
      </w:pPr>
      <w:r>
        <w:rPr>
          <w:rFonts w:ascii="Calibri" w:hAnsi="Calibri"/>
          <w:b/>
          <w:color w:val="4A6B25"/>
          <w:sz w:val="15"/>
        </w:rPr>
        <w:t xml:space="preserve">5. </w:t>
      </w:r>
      <w:r>
        <w:rPr>
          <w:rFonts w:ascii="Calibri" w:hAnsi="Calibri"/>
          <w:b w:val="0"/>
          <w:color w:val="3A4A28"/>
          <w:sz w:val="17"/>
        </w:rPr>
        <w:t>Option Care Health Palantir AI Partnership Announcement — Enterprise-Wide Digital Transformation</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