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OPEN</w:t>
      </w:r>
      <w:r>
        <w:rPr>
          <w:rFonts w:ascii="Calibri" w:hAnsi="Calibri"/>
          <w:b/>
          <w:color w:val="1A2010"/>
          <w:sz w:val="40"/>
        </w:rPr>
        <w:t xml:space="preserve">  Opendoor Technologies Inc.</w:t>
      </w:r>
    </w:p>
    <w:p>
      <w:pPr>
        <w:spacing w:after="120"/>
      </w:pPr>
      <w:r>
        <w:rPr>
          <w:rFonts w:ascii="Calibri" w:hAnsi="Calibri"/>
          <w:b/>
          <w:color w:val="6E8450"/>
          <w:sz w:val="18"/>
        </w:rPr>
        <w:t>GROWTH SLEEVE · 2026-08-15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NASDAQ · United States</w:t>
      </w:r>
    </w:p>
    <w:p>
      <w:pPr>
        <w:spacing w:after="80"/>
      </w:pPr>
      <w:r>
        <w:rPr>
          <w:rFonts w:ascii="Calibri" w:hAnsi="Calibri"/>
          <w:b w:val="0"/>
          <w:color w:val="3A4A28"/>
          <w:sz w:val="20"/>
        </w:rPr>
        <w:t>Opendoor Technologies Inc. operates a digital platform for residential real estate transactions in the United States. The company buys and sells homes through its online e-commerce platform (iBuying), and also offers real estate brokerage, title insurance, settlement, escrow, and construction services. Q2 2026 revenue reached $883M (+23% QoQ), with contribution margin expanding to 5.8% — a two-year high — and homes purchased up 149% YoY. Founded in 2013 and headquartered in Tempe, Arizona, the company continues executing its 'Opendoor 2.0' AI-first turnaround under CEO Kaz Nejatian, who added a Chief AI Officer (Vu Tran) in Q2 2026.</w:t>
      </w:r>
    </w:p>
    <w:p>
      <w:r>
        <w:rPr>
          <w:rFonts w:ascii="Calibri" w:hAnsi="Calibri"/>
          <w:b/>
          <w:color w:val="6E8450"/>
          <w:sz w:val="18"/>
        </w:rPr>
        <w:t>1,042 Employees · https://www.opendoor.com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The 'Opendoor 2.0' AI-first operating model overhaul is now showing quantified results rather than promises — Q2 2026 contribution profit rose 59% QoQ to $51M, contribution margin hit a two-year high of 5.8%, and homes purchased grew 149% YoY to 4,378, evidence of genuine operating transformation, not just cost-cutting [1]. AI Deployment (2/2): Marketing spend fell from $19M to $5M sequentially even as contract volume accelerated (marketing efficiency improved to 0.3% of acquisition GMV from 1.6%), home project managers now handle 10 renovations per person (up from 3), and underwriting capacity rose to 50+ cases per person (up from 20) — all specifically AI-and-automation-driven and quantified [1]. Market Share Leadership (2/2): Opendoor remains the dominant iBuyer, with Q2 2026 acquisition volume the highest since Q2 2022. Product Pipeline (0/2): No distinct next-generation product line beyond continued AI-driven operational automation has been announced. R&amp;D Intensity (1/1): Technology investment remains above industry norms for real estate services, reinforced by the new Chief AI Officer role.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'Empower everyone with the freedom to move' remains clear but not deeply distinctive. Community &amp; Charitable Impact (0/2): No significant new evidence of charitable programs or community investment has emerged since the prior screen. Employee Retention (1/2): Chairman Keith Rabois's public comments about needing only 200 employees and a 'broken' remote culture continue to color the organization's reputation, though the company has now operated under the leaner 'Opendoor 2.0' structure for nearly a year with demonstrated productivity gains rather than pure headcount reduction [2][3]. Insider Buying (1/2): Co-founders Rabois and Wu remain active on the board, and the earlier $40M PIPE financing signals continued insider conviction in the turnaround.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Opendoor's balance sheet remains severely stressed despite operational improvement. D/E of 215% scores roughly 0.37 of 1.0, while ROE of -196.89%, TTM profit margin of -46.74%, TTM revenue growth of -37.2%, and an estimated -14.1% 4-year revenue CAGR (using 2021-2025 annual revenue) all sit at or below their respective zero floors, scoring 0.0 [1][4]. Q2 2026 revenue of $883M was still down materially year-over-year even as it grew 23% sequentially, and the company continues to post large GAAP losses ($1.52B TTM) despite guiding toward adjusted net income (ANI) profitability on a 12-month go-forward basis by year-end 2026. Forward P/E and PEG remain not meaningful given continued losses. Liquidity floor is cleared with roughly $160M in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Opendoor still exhibits predominantly finite-game characteristics under Sinek's framework, though the 'Opendoor 2.0' turnaround is now showing real, quantified operating proof points nearly a year into execution. The persistent tension between activist-driven cost discipline (Rabois's 200-employee comment, the 'broken' culture critique) and the AI-first rebuild under Nejatian and Tran keeps the mindset mixed-to-finite rather than clearly infinite.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'Empower everyone with the freedom to move' still reads more as marketing than a deeply held conviction shaping every strategic decision — the company's trajectory (aggressive growth, contraction, founder return, AI pivot) continues to track market conditions and investor pressure more than a consistent guiding purpose [2][3].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Chairman Rabois's public comments about needing only 200 employees and calling the remote culture 'broken' continue to define the low-trust narrative, and no new evidence of culture repair has emerged since the prior screen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Competitive framing continues to emphasize market share and volume growth over acknowledging competitors' strengths as learning opportunities.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Nearly a year into 'Opendoor 2.0,' the AI-powered operating model overhaul is now producing measurable results (marketing efficiency, underwriting throughput, renovation throughput all improved multiples), representing real strategic flexibility even though it remains a survival-driven pivot rather than a proactively chosen transformation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Continued investment in the AI-first rebuild — including hiring a dedicated Chief AI Officer and reaffirming the year-end 2026 ANI profitability target through a still-loss-making balance sheet — shows sustained conviction, though the transformation remains activist-triggered rather than proactively initiated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Opendoor's AI-first turnaround under CEO Kaz Nejatian is now producing tangible operating results rather than just promises. Q2 2026 contribution margin reached a two-year high of 5.8% (within the 5%-7% target range), contribution profit rose 59% sequentially to $51M, and homes purchased grew 149% YoY to 4,378 [1]. AI and automation drove marketing efficiency roughly 5x higher (1.6% to 0.3% of acquisition GMV) while underwriting and renovation throughput per employee more than doubled and tripled respectively — concrete evidence the new Chief AI Officer's mandate is translating into unit economics improvement [1][2]. Management reaffirmed a path to adjusted net income (ANI) profitability on a 12-month go-forward basis by year-end 2026, with Q3 2026 revenue guided to grow at least 20% YoY.</w:t>
      </w:r>
    </w:p>
    <w:p>
      <w:pPr>
        <w:spacing w:after="120"/>
      </w:pPr>
      <w:r>
        <w:rPr>
          <w:rFonts w:ascii="Calibri" w:hAnsi="Calibri"/>
          <w:b w:val="0"/>
          <w:color w:val="3A4A28"/>
          <w:sz w:val="20"/>
        </w:rPr>
        <w:t>The balance sheet remains the central risk. TTM revenue is still down 37.2% YoY, ROE sits at -196.89%, and TTM GAAP losses total $1.52B against a fundamentally capital-intensive iBuying model that requires deploying billions to hold housing inventory [1][4]. D/E of 215% leaves little margin for error if the housing market softens further, and the company's Altman Z-Score around 0.15 signals elevated bankruptcy risk by conventional screens. Chairman Rabois's public comments about needing only 200 employees and calling the remote culture 'broken' continue to weigh on the Sinek-style organizational trust score, and the AI turnaround — while showing real quarter-over-quarter progress — is still unproven at the scale needed to overcome the structural losses of the legacy iBuying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execution toward the year-end 2026 adjusted net income (ANI) profitability target on a 12-month go-forward basis, following Q2 2026's two-year-high 5.8% contribution margin [1]</w:t>
      </w:r>
    </w:p>
    <w:p>
      <w:pPr>
        <w:spacing w:before="40" w:after="40"/>
        <w:ind w:left="283"/>
      </w:pPr>
      <w:r>
        <w:rPr>
          <w:rFonts w:ascii="Calibri" w:hAnsi="Calibri"/>
          <w:b/>
          <w:color w:val="4A6B25"/>
          <w:sz w:val="20"/>
        </w:rPr>
        <w:t xml:space="preserve">2. </w:t>
      </w:r>
      <w:r>
        <w:rPr>
          <w:rFonts w:ascii="Calibri" w:hAnsi="Calibri"/>
          <w:b w:val="0"/>
          <w:color w:val="3A4A28"/>
          <w:sz w:val="20"/>
        </w:rPr>
        <w:t>AI-driven operating leverage compounding further — marketing efficiency, underwriting throughput, and renovation throughput per employee all improved substantially in Q2 2026 and could continue scaling under Chief AI Officer Vu Tran [1][2]</w:t>
      </w:r>
    </w:p>
    <w:p>
      <w:pPr>
        <w:spacing w:before="40" w:after="40"/>
        <w:ind w:left="283"/>
      </w:pPr>
      <w:r>
        <w:rPr>
          <w:rFonts w:ascii="Calibri" w:hAnsi="Calibri"/>
          <w:b/>
          <w:color w:val="4A6B25"/>
          <w:sz w:val="20"/>
        </w:rPr>
        <w:t xml:space="preserve">3. </w:t>
      </w:r>
      <w:r>
        <w:rPr>
          <w:rFonts w:ascii="Calibri" w:hAnsi="Calibri"/>
          <w:b w:val="0"/>
          <w:color w:val="3A4A28"/>
          <w:sz w:val="20"/>
        </w:rPr>
        <w:t>U.S. housing market stabilization or rate relief accelerating transaction volumes, building on Q3 2026 guidance of at least 20% YoY revenue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capital structure stress — D/E of 215%, ROE of -196.89%, and $1.52B TTM GAAP losses — leaves the company vulnerable to any renewed housing market downturn or funding tightness</w:t>
      </w:r>
    </w:p>
    <w:p>
      <w:pPr>
        <w:spacing w:before="40" w:after="40"/>
        <w:ind w:left="283"/>
      </w:pPr>
      <w:r>
        <w:rPr>
          <w:rFonts w:ascii="Calibri" w:hAnsi="Calibri"/>
          <w:b/>
          <w:color w:val="4A6B25"/>
          <w:sz w:val="20"/>
        </w:rPr>
        <w:t xml:space="preserve">2. </w:t>
      </w:r>
      <w:r>
        <w:rPr>
          <w:rFonts w:ascii="Calibri" w:hAnsi="Calibri"/>
          <w:b w:val="0"/>
          <w:color w:val="3A4A28"/>
          <w:sz w:val="20"/>
        </w:rPr>
        <w:t>The AI-driven productivity gains, while real, remain early and unproven at the scale needed to overcome a fundamentally capital-intensive, thin-margin iBuying business model</w:t>
      </w:r>
    </w:p>
    <w:p>
      <w:pPr>
        <w:spacing w:before="40" w:after="40"/>
        <w:ind w:left="283"/>
      </w:pPr>
      <w:r>
        <w:rPr>
          <w:rFonts w:ascii="Calibri" w:hAnsi="Calibri"/>
          <w:b/>
          <w:color w:val="4A6B25"/>
          <w:sz w:val="20"/>
        </w:rPr>
        <w:t xml:space="preserve">3. </w:t>
      </w:r>
      <w:r>
        <w:rPr>
          <w:rFonts w:ascii="Calibri" w:hAnsi="Calibri"/>
          <w:b w:val="0"/>
          <w:color w:val="3A4A28"/>
          <w:sz w:val="20"/>
        </w:rPr>
        <w:t>Organizational trust concerns persist following Chairman Rabois's public comments on headcount and culture, which could complicate talent retention during a critical execution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Opendoor's iBuying model remains exposed to AI-powered valuation and instant-offer tools from traditional brokerages and competitors that could replicate its speed advantage without the same capital intensity, but physical inventory management, renovation logistics, and title/escrow operations retain some moat against pure-software disruption. AI Opportunity (1/1): Under new Chief AI Officer Vu Tran, AI is now demonstrably central to operations rather than aspirational — marketing efficiency improved roughly 5x (1.6% to 0.3% of GMV), underwriting throughput per person more than doubled, and renovation throughput more than tripled, all specifically attributed to AI-driven pricing and workflow automation in Q2 2026 [1][2]. The quantified productivity gains meaningfully strengthen the case that AI is a net enabler for Opendoor's cost structure, not just a threat to its differentiation.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Opendoor Q2 2026 Earnings — revenue $883M (+23% QoQ, -44% YoY), contribution margin 5.8% (2-year high), homes purchased +149% YoY, targeting ANI profitability by year-end 2026 — GlobeNewswire 'Q2 2026 Open House,' StockTitan, GuruFocus, August 2026</w:t>
      </w:r>
    </w:p>
    <w:p>
      <w:pPr>
        <w:spacing w:before="20" w:after="20"/>
        <w:ind w:left="170"/>
      </w:pPr>
      <w:r>
        <w:rPr>
          <w:rFonts w:ascii="Calibri" w:hAnsi="Calibri"/>
          <w:b/>
          <w:color w:val="4A6B25"/>
          <w:sz w:val="15"/>
        </w:rPr>
        <w:t xml:space="preserve">2. </w:t>
      </w:r>
      <w:r>
        <w:rPr>
          <w:rFonts w:ascii="Calibri" w:hAnsi="Calibri"/>
          <w:b w:val="0"/>
          <w:color w:val="3A4A28"/>
          <w:sz w:val="17"/>
        </w:rPr>
        <w:t>Opendoor CEO Kaz Nejatian 'Opendoor 2.0' AI-first strategy, new Chief AI Officer Vu Tran, marketing/underwriting/renovation efficiency gains — Parameter, International Finance, RealEstateNews, August 2026</w:t>
      </w:r>
    </w:p>
    <w:p>
      <w:pPr>
        <w:spacing w:before="20" w:after="20"/>
        <w:ind w:left="170"/>
      </w:pPr>
      <w:r>
        <w:rPr>
          <w:rFonts w:ascii="Calibri" w:hAnsi="Calibri"/>
          <w:b/>
          <w:color w:val="4A6B25"/>
          <w:sz w:val="15"/>
        </w:rPr>
        <w:t xml:space="preserve">3. </w:t>
      </w:r>
      <w:r>
        <w:rPr>
          <w:rFonts w:ascii="Calibri" w:hAnsi="Calibri"/>
          <w:b w:val="0"/>
          <w:color w:val="3A4A28"/>
          <w:sz w:val="17"/>
        </w:rPr>
        <w:t>Opendoor Chairman Keith Rabois workforce and culture comments; founders' board return and $40M PIPE financing — Fortune, HousingWire,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OPEN (Opendoor Technologies) Key Statistics, Financial Ratios,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