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OPK</w:t>
      </w:r>
      <w:r>
        <w:rPr>
          <w:rFonts w:ascii="Calibri" w:hAnsi="Calibri"/>
          <w:b/>
          <w:color w:val="1A2010"/>
          <w:sz w:val="40"/>
        </w:rPr>
        <w:t xml:space="preserve">  OPKO Health, Inc.</w:t>
      </w:r>
    </w:p>
    <w:p>
      <w:pPr>
        <w:spacing w:after="120"/>
      </w:pPr>
      <w:r>
        <w:rPr>
          <w:rFonts w:ascii="Calibri" w:hAnsi="Calibri"/>
          <w:b/>
          <w:color w:val="6E8450"/>
          <w:sz w:val="18"/>
        </w:rPr>
        <w:t>GROWTH SLEEVE · 2026-07-10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&amp; Diagnostics · NASDAQ · United States</w:t>
      </w:r>
    </w:p>
    <w:p>
      <w:pPr>
        <w:spacing w:after="80"/>
      </w:pPr>
      <w:r>
        <w:rPr>
          <w:rFonts w:ascii="Calibri" w:hAnsi="Calibri"/>
          <w:b w:val="0"/>
          <w:color w:val="3A4A28"/>
          <w:sz w:val="20"/>
        </w:rPr>
        <w:t>OPKO Health, Inc. is a diversified healthcare company engaged in diagnostics and pharmaceuticals, operating in more than 30 countries. The company's subsidiaries include BioReference Health (clinical laboratory testing), OPKO Biologics (pharmaceutical development), and ModeX Therapeutics (multi-specific antibody platform). OPKO develops treatments across multiple therapeutic areas and maintains diagnostic testing operations. Founded in 2007 and led by Chairman and CEO Dr. Phillip Frost since inception, headquartered in Miami, Florida.</w:t>
      </w:r>
    </w:p>
    <w:p>
      <w:r>
        <w:rPr>
          <w:rFonts w:ascii="Calibri" w:hAnsi="Calibri"/>
          <w:b/>
          <w:color w:val="6E8450"/>
          <w:sz w:val="18"/>
        </w:rPr>
        <w:t>5,000 Employees · https://www.opko.com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Regeneron collaboration announced in 2025, valued at $1B+ with milestone payments exceeding $200M per program, represents a significant partnership validation of OPKO's drug development capabilities [1]. However, the company's core diagnostics business (BioReference) has seen revenue decline post-COVID and no transformative product launches or pivots have occurred in the last 5 years. AI Deployment (0/2): No AI products or deployment. Industry observers suggest OPKO should embed AI into drug discovery but no actual implementation has been reported [3]. Market Share (0/2): Not a market leader in any segment. BioReference is a mid-tier clinical laboratory, and the pharmaceutical pipeline is early-stage, competing against much larger diagnostic and pharma companies. Product Pipeline (1/2): Regeneron collaboration programs and OPK8801001 preclinical update suggest active R&amp;D, but timelines are vague and commercialization remains years away [1][2]. R&amp;D Intensity (1/1): R&amp;D spending of $125-135M against ~$530-560M guided revenue represents ~24% R&amp;D intensity, well above healthcare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OPKO's mission focuses on improving patient outcomes through innovative diagnostics and treatments, connecting healthcare work to patient welfare [3]. The mission is clear for a healthcare company but not distinctively articulated — interchangeable with many pharma and diagnostic peers. Community Impact (0/2): No evidence of distinctive community investment programs or charitable initiatives found. Employee Retention (1/2): CEO Dr. Phillip Frost has led the company since 2007 and the senior leadership team has worked together for many years with members formerly from NIH and Sanofi [3]. This long-tenured leadership signals stability, though no company-wide retention data is available. Insider Buying (1/2): Dr. Frost directly owns 31.23% of OPKO shares worth $344.63M, representing massive insider alignment with shareholders [3]. While this reflects existing ownership rather than recent net buying, the magnitude of personal capital at risk signals genuine conviction in the long-term 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balance sheet shows a manageable D/E of 31% with $364M cash against $397M debt [5]. However, profitability metrics are deeply distressed: ROE of -17.14% reflects ongoing losses, profit margin of -37.19% indicates severe unprofitability, and 2025 revenue declined 14.9% to $607M from $713M as COVID-era testing volumes normalized [1]. 2026 guidance of $530-560M signals continued revenue contraction with total costs of $725-750M guaranteeing further losses [1]. Forward P/E is unavailable due to unprofitability. Revenue 5-year CAGR is estimated at approximately -3% given the post-COVID revenue cliff from peak testing volumes.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OPKO under Dr. Phillip Frost operates as a diversified healthcare holding company focused on financial returns rather than a clear long-term purpose. The company's strategy — maintaining a sprawling portfolio of diagnostics, pharmaceuticals, and biotech investments — reflects a serial entrepreneur's approach to value creation rather than a purpose-driven organization built to endure. The SEC settlement in 2018 and ongoing financial losses undermine claims of long-term, mission-driven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OPKO's healthcare mission of improving patient lives exists but reads as a standard healthcare company platitude rather than a deeply held cause [3]. The company's diversified structure — spanning clinical labs, pharma development, and multiple therapeutic areas — suggests a conglomerate approach to value creation rather than a unified purpose. Dr. Frost's career as a serial healthcare entrepreneur reflects business-building skill rather than dedication to a specific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long-tenured senior leadership team with members from NIH and Sanofi suggests organizational stability at the top level [3]. CEO Dr. Frost's 19-year tenure provides leadership continuity. However, the 2018 SEC lawsuit naming OPKO and Frost (settled without admitting or denying allegations for $100K) creates a credibility question [4]. The company operates in 30+ countries with ~5,000 employees, but no public data on broader organizational trust or employee satisfaction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OPKO's public communications focus on its own pipeline and partnerships (Regeneron, Pfizer, NIH) rather than acknowledging or learning from competitors' strengths. The diversified conglomerate structure makes it difficult to identify a clear competitive frame of reference.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OPKO has maintained a broadly similar business structure for years — diagnostics (BioReference) plus pharmaceutical development — without meaningful strategic transformation. The post-COVID revenue decline from BioReference has not triggered a strategic pivot; instead, the company continues to invest in R&amp;D while the core business contracts [1]. No evidence of transformative reinvention or willingness to abandon legacy businesses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$125-135M in annual R&amp;D spending despite ongoing losses and revenue contraction demonstrates some willingness to invest in long-term capability [1]. The Regeneron collaboration reflects strategic ambition beyond current operations. However, the company's financial position — guided revenue of $530-560M against costs of $725-750M — raises questions about whether continued R&amp;D investment reflects courage or an inability to achieve profitability through operational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OPKO Health's bull case rests on the Regeneron collaboration ($1B+ potential with $200M+ milestones per program) validating the pharmaceutical pipeline, combined with the ModeX multi-specific antibody platform creating optionality across multiple therapeutic areas [1]. Dr. Frost's 31.23% personal ownership ($344.63M) signals genuine alignment, and the stock trades at just $880M market cap — less than 1.5x revenue — providing significant upside if any pipeline programs succeed [3][5]. The $364M cash position provides runway, and R&amp;D intensity of ~24% of revenue is above healthcare averages, reflecting serious commitment to drug development.</w:t>
      </w:r>
    </w:p>
    <w:p>
      <w:pPr>
        <w:spacing w:after="120"/>
      </w:pPr>
      <w:r>
        <w:rPr>
          <w:rFonts w:ascii="Calibri" w:hAnsi="Calibri"/>
          <w:b w:val="0"/>
          <w:color w:val="3A4A28"/>
          <w:sz w:val="20"/>
        </w:rPr>
        <w:t>The bear case is compelling. OPKO has been a perpetual 'story stock' that has destroyed shareholder value — the stock trades at $1.12 after years of decline. Revenue is actively contracting: 2026 guidance of $530-560M continues the decline from the $713M peak in 2024, and the guided cost structure of $725-750M guarantees continued losses [1]. The 2018 SEC lawsuit settlement (naming both OPKO and CEO Frost) creates governance concerns [4]. The company's diversified structure lacks strategic focus, spreading limited resources across diagnostics and pharma without achieving market leadership in either. At -$225.68M in 2025 losses, the cash burn rate threatens to erode the balance sheet before pipeline programs can generate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Regeneron collaboration milestone payments exceeding $200M per program could provide transformative non-dilutive capital and pipeline validation over the next 2-3 years</w:t>
      </w:r>
    </w:p>
    <w:p>
      <w:pPr>
        <w:spacing w:before="40" w:after="40"/>
        <w:ind w:left="283"/>
      </w:pPr>
      <w:r>
        <w:rPr>
          <w:rFonts w:ascii="Calibri" w:hAnsi="Calibri"/>
          <w:b/>
          <w:color w:val="4A6B25"/>
          <w:sz w:val="20"/>
        </w:rPr>
        <w:t xml:space="preserve">2. </w:t>
      </w:r>
      <w:r>
        <w:rPr>
          <w:rFonts w:ascii="Calibri" w:hAnsi="Calibri"/>
          <w:b w:val="0"/>
          <w:color w:val="3A4A28"/>
          <w:sz w:val="20"/>
        </w:rPr>
        <w:t>OPK8801001 preclinical progression through clinical trials could create biotech-style upside from the current $880M market cap base</w:t>
      </w:r>
    </w:p>
    <w:p>
      <w:pPr>
        <w:spacing w:before="40" w:after="40"/>
        <w:ind w:left="283"/>
      </w:pPr>
      <w:r>
        <w:rPr>
          <w:rFonts w:ascii="Calibri" w:hAnsi="Calibri"/>
          <w:b/>
          <w:color w:val="4A6B25"/>
          <w:sz w:val="20"/>
        </w:rPr>
        <w:t xml:space="preserve">3. </w:t>
      </w:r>
      <w:r>
        <w:rPr>
          <w:rFonts w:ascii="Calibri" w:hAnsi="Calibri"/>
          <w:b w:val="0"/>
          <w:color w:val="3A4A28"/>
          <w:sz w:val="20"/>
        </w:rPr>
        <w:t>BioReference revenue stabilization following the post-COVID decline could reduce overall cash burn and extend runway for pharmaceutical pipeline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guided revenue of $530-560M with costs of $725-750M guarantees continued net losses in the range of $165-220M, eroding the $364M cash position and potentially forcing dilutive financing</w:t>
      </w:r>
    </w:p>
    <w:p>
      <w:pPr>
        <w:spacing w:before="40" w:after="40"/>
        <w:ind w:left="283"/>
      </w:pPr>
      <w:r>
        <w:rPr>
          <w:rFonts w:ascii="Calibri" w:hAnsi="Calibri"/>
          <w:b/>
          <w:color w:val="4A6B25"/>
          <w:sz w:val="20"/>
        </w:rPr>
        <w:t xml:space="preserve">2. </w:t>
      </w:r>
      <w:r>
        <w:rPr>
          <w:rFonts w:ascii="Calibri" w:hAnsi="Calibri"/>
          <w:b w:val="0"/>
          <w:color w:val="3A4A28"/>
          <w:sz w:val="20"/>
        </w:rPr>
        <w:t>The SEC settlement in 2018 involving CEO Dr. Frost and the company, combined with an $8.5M prior class action settlement, creates governance risks that may limit institutional investor interest</w:t>
      </w:r>
    </w:p>
    <w:p>
      <w:pPr>
        <w:spacing w:before="40" w:after="40"/>
        <w:ind w:left="283"/>
      </w:pPr>
      <w:r>
        <w:rPr>
          <w:rFonts w:ascii="Calibri" w:hAnsi="Calibri"/>
          <w:b/>
          <w:color w:val="4A6B25"/>
          <w:sz w:val="20"/>
        </w:rPr>
        <w:t xml:space="preserve">3. </w:t>
      </w:r>
      <w:r>
        <w:rPr>
          <w:rFonts w:ascii="Calibri" w:hAnsi="Calibri"/>
          <w:b w:val="0"/>
          <w:color w:val="3A4A28"/>
          <w:sz w:val="20"/>
        </w:rPr>
        <w:t>Post-COVID revenue decline from $713M to projected $530-560M without a clear path to profitability makes OPKO a speculative biotech bet rather than an investable healthcare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OPKO faces mixed AI disruption risk across its business segments. The BioReference clinical laboratory business is moderately exposed — AI-powered diagnostic tools could reduce demand for traditional lab testing, and AI-driven pathology and imaging analysis are already disrupting diagnostic workflows [3]. The pharmaceutical development business is more protected, as drug discovery and clinical trials involve physical, biological, and regulatory processes that AI cannot fully replicate. However, AI is increasingly being used to accelerate drug discovery (AI-driven biotech funding grew 40%+ from 2022-2024), creating competitive pressure from AI-native drug developers who can move faster through early discovery phases [3]. AI Opportunity (0/1): No AI-related revenue. OPKO has not deployed AI products or reported AI-driven cost savings despite industry trends toward AI-enabled drug discovery.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OPKO Health Q4 2025 Financial Results and 2026 Guidance — BusinessWire, March 2026</w:t>
      </w:r>
    </w:p>
    <w:p>
      <w:pPr>
        <w:spacing w:before="20" w:after="20"/>
        <w:ind w:left="170"/>
      </w:pPr>
      <w:r>
        <w:rPr>
          <w:rFonts w:ascii="Calibri" w:hAnsi="Calibri"/>
          <w:b/>
          <w:color w:val="4A6B25"/>
          <w:sz w:val="15"/>
        </w:rPr>
        <w:t xml:space="preserve">2. </w:t>
      </w:r>
      <w:r>
        <w:rPr>
          <w:rFonts w:ascii="Calibri" w:hAnsi="Calibri"/>
          <w:b w:val="0"/>
          <w:color w:val="3A4A28"/>
          <w:sz w:val="17"/>
        </w:rPr>
        <w:t>OPKO Health SEC 8-K Filing — OPK8801001 Preclinical Update, June 2026</w:t>
      </w:r>
    </w:p>
    <w:p>
      <w:pPr>
        <w:spacing w:before="20" w:after="20"/>
        <w:ind w:left="170"/>
      </w:pPr>
      <w:r>
        <w:rPr>
          <w:rFonts w:ascii="Calibri" w:hAnsi="Calibri"/>
          <w:b/>
          <w:color w:val="4A6B25"/>
          <w:sz w:val="15"/>
        </w:rPr>
        <w:t xml:space="preserve">3. </w:t>
      </w:r>
      <w:r>
        <w:rPr>
          <w:rFonts w:ascii="Calibri" w:hAnsi="Calibri"/>
          <w:b w:val="0"/>
          <w:color w:val="3A4A28"/>
          <w:sz w:val="17"/>
        </w:rPr>
        <w:t>OPKO Health Corporate Leadership and Mission — opko.com, Comparably,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OPKO Health SEC Lawsuit and Class Action Settlement History — Wikipedia, BusinessWire, 2018-2023</w:t>
      </w:r>
    </w:p>
    <w:p>
      <w:pPr>
        <w:spacing w:before="20" w:after="20"/>
        <w:ind w:left="170"/>
      </w:pPr>
      <w:r>
        <w:rPr>
          <w:rFonts w:ascii="Calibri" w:hAnsi="Calibri"/>
          <w:b/>
          <w:color w:val="4A6B25"/>
          <w:sz w:val="15"/>
        </w:rPr>
        <w:t xml:space="preserve">5. </w:t>
      </w:r>
      <w:r>
        <w:rPr>
          <w:rFonts w:ascii="Calibri" w:hAnsi="Calibri"/>
          <w:b w:val="0"/>
          <w:color w:val="3A4A28"/>
          <w:sz w:val="17"/>
        </w:rPr>
        <w:t>StockAnalysis.com — OPK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