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ORLA</w:t>
      </w:r>
      <w:r>
        <w:rPr>
          <w:rFonts w:ascii="Calibri" w:hAnsi="Calibri"/>
          <w:b/>
          <w:color w:val="1A2010"/>
          <w:sz w:val="40"/>
        </w:rPr>
        <w:t xml:space="preserve">  Orla Mining Ltd.</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Orla Mining Ltd. is a Canadian gold mining company that acquires, explores, develops, and operates gold mines across the Americas. Core assets include the Camino Rojo Oxide Gold Mine in Zacatecas, Mexico, and the Musselwhite Gold Mine in Ontario, Canada (acquired from Newmont in February 2025). Additional projects include South Railroad in Nevada and Cerro Quema in Panama. The company is in the process of merging with Equinox Gold to create North America's new senior gold producer with approximately 1.1 million ounces of expected annual gold production and an implied market capitalization of $18.5 billion.</w:t>
      </w:r>
    </w:p>
    <w:p>
      <w:r>
        <w:rPr>
          <w:rFonts w:ascii="Calibri" w:hAnsi="Calibri"/>
          <w:b/>
          <w:color w:val="6E8450"/>
          <w:sz w:val="18"/>
        </w:rPr>
        <w:t>2,000 Employees · https://www.orlamining.com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Orla has executed a transformative growth strategy — developing Camino Rojo from greenfield to production, acquiring the established Musselwhite mine from Newmont in February 2025, and agreeing to merge with Equinox Gold in May 2026 to create an $18.5B senior gold producer with 1.1M ounces of annual production [1][2]. This represents a dramatic evolution from single-mine junior to multi-asset mid-tier producer in under five years. AI Deployment (0/2): No AI-powered products or quantified AI-driven operational efficiencies reported; mining operations rely on traditional geological expertise and engineering. Market Share (1/2): Orla's 2026 production guidance of 340,000-360,000 ounces positions it as a meaningful mid-tier producer, and the Equinox merger would create the second-largest Canadian gold producer — a significant step-up in scale and market relevance [2]. Product Pipeline (1/2): South Railroad project in Nevada advancing through permitting and development, Cerro Quema in Panama provides additional optionality, and the Equinox merger adds multiple operating mines including Greenstone and Valentine with combined production approaching 1.1M ounces [2]. R&amp;D Intensity (0/1): Mining companies do not have traditional R&amp;D spending; exploration budgets are the functional equivalent but not differentiated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Orla Mining's articulated purpose centers on 'disciplined growth and responsible operations,' with CEO Jason Simpson emphasizing 'mining smarter, scaling faster, and the future of gold' [3]. This is operationally focused language that could apply to any mining company — it identifies competence (discipline, responsibility) but does not articulate a deeper purpose or vision beyond growing a gold mining business. Community Impact (0/2): Orla operates in communities in Mexico and Canada and engages with unions and local stakeholders, but no specific charitable programs, community development initiatives, or foundation activities were identified with quantifiable impact. Employee Retention (0/2): No publicly available retention data, tenure metrics, or employee engagement scores. Labor relations at Camino Rojo have involved union negotiations, which is normal for mining but does not indicate standout cultural practices. Insider Buying (1/2): CEO Jason Simpson exercised options to purchase 149,000 shares in May 2026 at CA$4.80 strike price, and directly holds 2.07 million shares worth CA$28.74M (0.6% of the company) — a meaningful personal stake [3]. However, option exercises at below-market strike prices are less convincing than open-market purchases at prevailing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exceptional metrics across all available dimensions. Every available metric scores at or above target. Debt-to-equity of 39% is well below the 70% ceiling. ROE of 42.52% is nearly 3x the 15% target, reflecting exceptional capital efficiency from the low-cost Camino Rojo operation [4]. Profit margin of 23.17% exceeds the 20% target. Revenue growth is extraordinary at 207.6% YoY for FY2025, driven by the Musselwhite acquisition and rising gold prices. Forward P/E of 5.67 is dramatically below the 20 target — one of the lowest valuations in the gold mining sector — reflecting the market's skepticism about sustaining current earnings or merger execution risk [4]. The $3.57B market cap represents a gold miner trading at under 6x forward earnings in a sustained gold bull market, with EPS of $0.72 TTM and FCF yield of 9.95%. The minimal $0.015 annual dividend (0.16% yield) reflects the company's preference for reinvestment and growth-stage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Orla Mining is a well-executed growth story — transforming from a single-mine junior to a multi-asset producer merging into a senior gold company — but it operates primarily with a finite game mindset. The company's purpose is operational excellence and value creation through gold mining, not a deeper cause that transcends any single mine or market cycle. CEO Simpson's leadership has been effective and disciplined, but the strategic decisions are driven by financial logic rather than a Just Cause that would define an infinite game player.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Orla Mining does not articulate a Just Cause in Sinek's framework. The company's purpose — mining gold through disciplined growth and responsible operations — is fundamentally about extracting value from mineral deposits [3]. The Equinox merger tagline 'Built to Grow, Built to Last' suggests durability aspirations but is marketing language, not a vision of a future state so appealing that people would sacrifice to advance it. Gold mining is inherently a depleting-asset business where each mine has a finite life, creating structural tension with infinite game thinking.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Limited data on organizational culture. Labor relations at Camino Rojo have involved negotiations with unions and federal labor authorities, suggesting some organizational tension in the workforce [3]. The company has approximately 2,000 employees across operations in Mexico and Canada. No employee engagement data, voluntary turnover metrics, or cultural practice information was identified. The pending Equinox merger introduces significant organizational uncertainty and potential team disruption.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Orla competes with other mid-tier gold producers (Alamos Gold, Lundin Gold, B2Gold) but positions itself through operational metrics (AISC, production growth) rather than learning from competitors. The Equinox merger is framed as creating scale advantages rather than competitive learning. No evidence of the infinite competitive mindset that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Orla has demonstrated meaningful strategic evolution — from a single-mine exploration/development company to a multi-asset producer through the Musselwhite acquisition, and now to a senior gold producer through the Equinox merger [2]. Each step has expanded the company's scale and geographic diversification. However, the company has not fundamentally changed what it does (mine gold); the pivots are about scale and asset quality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Jason Simpson executed the bold Musselwhite acquisition from Newmont in February 2025, transforming Orla from a single-mine junior to a multi-asset mid-tier producer, and then agreed to the Equinox merger in May 2026 — two transformative deals in 15 months [2][3]. These decisions required significant capital commitment and integration risk. However, the deals were executed during a sustained gold bull market with strong commodity prices, reducing the risk relative to counter-cyclical bets that Sinek would value more highly.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Orla Mining combines exceptional current financials with a transformative merger catalyst. The company's infrastructure metrics are outstanding — ROE of 42.52%, profit margin of 23.17%, debt-to-equity of 39%, and a forward P/E of just 5.67 in a sustained gold bull market [4]. Production guidance of 340,000-360,000 ounces at AISC of $1,550-$1,750/oz provides strong free cash flow generation (FCF yield of 9.95%) with gold prices above $2,400/oz [1]. The pending Equinox Gold merger would create North America's second-largest Canadian gold producer with 1.1 million ounces of annual production, $18.5B implied market cap, and approximately $1.4B in projected 2026 free cash flow [2]. The Musselwhite mine (235,000 ounces expected) provides Canadian production base with long mine life, complementing the low-cost Camino Rojo operation in Mexico [1].</w:t>
      </w:r>
    </w:p>
    <w:p>
      <w:pPr>
        <w:spacing w:after="120"/>
      </w:pPr>
      <w:r>
        <w:rPr>
          <w:rFonts w:ascii="Calibri" w:hAnsi="Calibri"/>
          <w:b w:val="0"/>
          <w:color w:val="3A4A28"/>
          <w:sz w:val="20"/>
        </w:rPr>
        <w:t>The key risks center on execution and concentration. The Equinox merger creates integration complexity across five countries (Canada, Mexico, Nicaragua, United States, Panama) with different regulatory frameworks, labor relations, and operational challenges [2]. Camino Rojo experienced a temporary operational shutdown requiring resumed operations, and labor union negotiations with federal authorities remain ongoing — illustrating the political and operational risks inherent in Mexican mining [1]. Gold price dependency is acute — the exceptional financial metrics are driven by gold above $2,400/oz, and any sustained decline would compress margins and earnings dramatically. The 207.6% revenue growth is substantially acquisition-driven (Musselwhite) and not repeatable organically, meaning the forward growth trajectory depends heavily on successful merger integration and gold price sustained above current levels [4]. The IOWN Infinite Game and Inspiration scores are low (2 and 2 respectively), reflecting the absence of purpose-driven leadership and organizational culture beyond operational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Equinox Gold merger completion creating an $18.5B senior gold producer with 1.1M ounces of annual production, transforming Orla from mid-tier to senior status and potentially attracting institutional investment flows associated with larger market capitalization</w:t>
      </w:r>
    </w:p>
    <w:p>
      <w:pPr>
        <w:spacing w:before="40" w:after="40"/>
        <w:ind w:left="283"/>
      </w:pPr>
      <w:r>
        <w:rPr>
          <w:rFonts w:ascii="Calibri" w:hAnsi="Calibri"/>
          <w:b/>
          <w:color w:val="4A6B25"/>
          <w:sz w:val="20"/>
        </w:rPr>
        <w:t xml:space="preserve">2. </w:t>
      </w:r>
      <w:r>
        <w:rPr>
          <w:rFonts w:ascii="Calibri" w:hAnsi="Calibri"/>
          <w:b w:val="0"/>
          <w:color w:val="3A4A28"/>
          <w:sz w:val="20"/>
        </w:rPr>
        <w:t>South Railroad project advancement in Nevada adding a high-quality US-based gold asset to the portfolio, diversifying production away from Mexico and Canada concentration</w:t>
      </w:r>
    </w:p>
    <w:p>
      <w:pPr>
        <w:spacing w:before="40" w:after="40"/>
        <w:ind w:left="283"/>
      </w:pPr>
      <w:r>
        <w:rPr>
          <w:rFonts w:ascii="Calibri" w:hAnsi="Calibri"/>
          <w:b/>
          <w:color w:val="4A6B25"/>
          <w:sz w:val="20"/>
        </w:rPr>
        <w:t xml:space="preserve">3. </w:t>
      </w:r>
      <w:r>
        <w:rPr>
          <w:rFonts w:ascii="Calibri" w:hAnsi="Calibri"/>
          <w:b w:val="0"/>
          <w:color w:val="3A4A28"/>
          <w:sz w:val="20"/>
        </w:rPr>
        <w:t>Sustained gold price environment above $2,400/oz combined with low AISC of $1,550-$1,750/oz generating approximately $1.4B in combined free cash flow and supporting potential dividend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Equinox merger integration risk across five countries with different regulatory, labor, and operational environments — execution failure could destroy value and distract management from current operations</w:t>
      </w:r>
    </w:p>
    <w:p>
      <w:pPr>
        <w:spacing w:before="40" w:after="40"/>
        <w:ind w:left="283"/>
      </w:pPr>
      <w:r>
        <w:rPr>
          <w:rFonts w:ascii="Calibri" w:hAnsi="Calibri"/>
          <w:b/>
          <w:color w:val="4A6B25"/>
          <w:sz w:val="20"/>
        </w:rPr>
        <w:t xml:space="preserve">2. </w:t>
      </w:r>
      <w:r>
        <w:rPr>
          <w:rFonts w:ascii="Calibri" w:hAnsi="Calibri"/>
          <w:b w:val="0"/>
          <w:color w:val="3A4A28"/>
          <w:sz w:val="20"/>
        </w:rPr>
        <w:t>Gold price dependency — forward P/E of 5.67 reflects current gold prices above $2,400/oz; a sustained decline to $1,800/oz would compress earnings by 40-50% and eliminate the valuation discount</w:t>
      </w:r>
    </w:p>
    <w:p>
      <w:pPr>
        <w:spacing w:before="40" w:after="40"/>
        <w:ind w:left="283"/>
      </w:pPr>
      <w:r>
        <w:rPr>
          <w:rFonts w:ascii="Calibri" w:hAnsi="Calibri"/>
          <w:b/>
          <w:color w:val="4A6B25"/>
          <w:sz w:val="20"/>
        </w:rPr>
        <w:t xml:space="preserve">3. </w:t>
      </w:r>
      <w:r>
        <w:rPr>
          <w:rFonts w:ascii="Calibri" w:hAnsi="Calibri"/>
          <w:b w:val="0"/>
          <w:color w:val="3A4A28"/>
          <w:sz w:val="20"/>
        </w:rPr>
        <w:t>Labor and political risk at Camino Rojo — ongoing union negotiations with federal labor authorities and a recent temporary operational shutdown illustrate the operational fragility of Mexican mining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one of the most AI-immune industries in the economy. The core business involves physical extraction of rock from the earth, chemical processing of ore to recover gold, environmental management of tailings and water, heavy equipment operation, geological exploration, and regulatory compliance across multiple jurisdictions [3]. AI cannot dig a mine, operate a heap leach pad, or manage community relations with indigenous communities and labor unions in Mexico and Canada. Mining is also deeply regulated by environmental, safety, and mining authorities that require physical compliance. Furthermore, AI infrastructure buildout increases demand for gold as a monetary asset and safe haven — gold prices benefit from the same macroeconomic uncertainty that drives AI investment. AI Opportunity (0/1): No quantifiable AI-driven revenue. While AI could potentially optimize geological modeling, ore processing, or equipment maintenance, Orla has not reported specific AI implementations generating measurable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Orla Mining Q1 2026 Financial Results — 6-K Filing, SEC, May 2026</w:t>
      </w:r>
    </w:p>
    <w:p>
      <w:pPr>
        <w:spacing w:before="20" w:after="20"/>
        <w:ind w:left="170"/>
      </w:pPr>
      <w:r>
        <w:rPr>
          <w:rFonts w:ascii="Calibri" w:hAnsi="Calibri"/>
          <w:b/>
          <w:color w:val="4A6B25"/>
          <w:sz w:val="15"/>
        </w:rPr>
        <w:t xml:space="preserve">2. </w:t>
      </w:r>
      <w:r>
        <w:rPr>
          <w:rFonts w:ascii="Calibri" w:hAnsi="Calibri"/>
          <w:b w:val="0"/>
          <w:color w:val="3A4A28"/>
          <w:sz w:val="17"/>
        </w:rPr>
        <w:t>Equinox Gold and Orla Mining Merger Agreement — equinoxgold.com and orlamining.com, May 13, 2026</w:t>
      </w:r>
    </w:p>
    <w:p>
      <w:pPr>
        <w:spacing w:before="20" w:after="20"/>
        <w:ind w:left="170"/>
      </w:pPr>
      <w:r>
        <w:rPr>
          <w:rFonts w:ascii="Calibri" w:hAnsi="Calibri"/>
          <w:b/>
          <w:color w:val="4A6B25"/>
          <w:sz w:val="15"/>
        </w:rPr>
        <w:t xml:space="preserve">3. </w:t>
      </w:r>
      <w:r>
        <w:rPr>
          <w:rFonts w:ascii="Calibri" w:hAnsi="Calibri"/>
          <w:b w:val="0"/>
          <w:color w:val="3A4A28"/>
          <w:sz w:val="17"/>
        </w:rPr>
        <w:t>Orla Mining CEO Jason Simpson Interview and Corporate Updates — ICE Insights,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ORLA Financial Ratios and Statistics,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ORLA Key Statistics and Analyst Consensus,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