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ORN</w:t>
      </w:r>
      <w:r>
        <w:rPr>
          <w:rFonts w:ascii="Calibri" w:hAnsi="Calibri"/>
          <w:b/>
          <w:color w:val="1A2010"/>
          <w:sz w:val="40"/>
        </w:rPr>
        <w:t xml:space="preserve">  Orion Group Holdings, Inc.</w:t>
      </w:r>
    </w:p>
    <w:p>
      <w:pPr>
        <w:spacing w:after="120"/>
      </w:pPr>
      <w:r>
        <w:rPr>
          <w:rFonts w:ascii="Calibri" w:hAnsi="Calibri"/>
          <w:b/>
          <w:color w:val="6E8450"/>
          <w:sz w:val="18"/>
        </w:rPr>
        <w:t>GROWTH SLEEVE · 2026-08-08 · Inspire: 20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Engineering &amp; Construction · NYSE · United States</w:t>
      </w:r>
    </w:p>
    <w:p>
      <w:pPr>
        <w:spacing w:after="80"/>
      </w:pPr>
      <w:r>
        <w:rPr>
          <w:rFonts w:ascii="Calibri" w:hAnsi="Calibri"/>
          <w:b w:val="0"/>
          <w:color w:val="3A4A28"/>
          <w:sz w:val="20"/>
        </w:rPr>
        <w:t>Orion Group Holdings, Inc. is a leading specialty construction company operating through two segments: Marine (shoreline protection, jetties, breakwaters, dredging, marine transportation) and Concrete (structural concrete, site work, data center construction). The company acquired J.E. McAmis to strengthen marine capabilities. FY2025 revenue was $852.3M with $27B in pursuit pipeline. Founded in 1994, headquartered in Houston, Texas.</w:t>
      </w:r>
    </w:p>
    <w:p>
      <w:r>
        <w:rPr>
          <w:rFonts w:ascii="Calibri" w:hAnsi="Calibri"/>
          <w:b/>
          <w:color w:val="6E8450"/>
          <w:sz w:val="18"/>
        </w:rPr>
        <w:t>https://www.oriongroupholdingsinc.com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Orion acquired J.E. McAmis to strengthen jetty and breakwater marine construction capabilities, and pivoted the Concrete segment toward high-growth data center construction — Q2 2026 Concrete revenue grew 30%+ with 45% adjusted EBITDA growth, driven materially by data center development and commercial site work [1][2]. This represents a meaningful strategic repositioning from traditional marine/civil construction toward AI infrastructure. AI Deployment (0/2): No evidence of AI-powered products, AI-driven estimating tools, or quantified AI operational savings; Orion's competitive advantage is physical construction capabilities, not technology differentiation [3]. Market Share (1/2): Orion is a meaningful specialty construction player with $852M in FY2025 revenue and niche capabilities in marine construction (shoreline protection, USACE projects) and data center concrete, but it is not a category leader in the fragmented $2T+ US construction industry [1]. Product Pipeline (1/2): $27 billion in pursuit pipeline and $1.6 billion in projects quoted awaiting award provide strong forward visibility; recent wins include an $86M USACE shoreline protection project [1][4]. However, backlog declined 12% YoY in FY2025 before recovering in Q2 2026. R&amp;D Intensity (0/1): No formal R&amp;D spend disclosed; construction companies invest in equipment and capabilities rather than traditional research and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Orion's public identity centers on core values — Safety, Quality, Delivery, Teamwork, and Integrity — which are standard corporate values interchangeable with any construction company [5]. No distinctive mission, purpose, or vision statement articulates why Orion exists beyond providing construction services. The 'Who We Are' page describes operational capabilities, not a larger purpose. Community Impact (0/2): No evidence of charitable programs, community foundations, or philanthropic initiatives beyond standard construction industry community engagement [5]. Employee Retention (0/2): No employee retention, tenure, or turnover data available from public sources. Recent CFO transition (Alison Vasquez appointed June 2025) and CEO change (Travis Boone joined September 2022) suggest leadership instability [3]. Insider Buying (0/2): No insider buying data identified in search results; no evidence of management open-market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FY2025 delivered $852.3M revenue with GAAP net income of just $2.5M (0.29% margin) and Adjusted EBITDA of $45.2M (5.3% margin), reflecting the razor-thin profitability typical of specialty construction [4]. Q1 2026 showed improvement with $216.3M revenue (up 15% YoY) and $4.7M net income, but Q2 2026 reversed with $221.9M revenue (up 8%) and a $4.1M net loss due to marine segment timing issues [1][2]. D/E of 67.2% is well-managed, near the 70% target with $110.6M total debt against $164.5M equity [6]. ROE of 1.5% is at the scoring floor, reflecting the company's near-breakeven profitability. Forward P/E of ~40x (based on Adjusted EPS guidance midpoint of $0.265) is elevated for a construction company. FY2026 guidance of $900-950M revenue and $50-54M Adjusted EBITDA was maintained after Q2, though interest coverage of just 1.3x is a risk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Orion Group Holdings operates as a competent specialty construction company without the hallmarks of an infinite game player. The company has no articulated Just Cause — it exists to build marine and concrete infrastructure for profit. CEO Travis Boone (since 2022, from AECOM) and the recent CFO change suggest the organization is in a turnaround phase rather than pursuing a long-term purpose. The J.E. McAmis acquisition and data center pivot show strategic adaptability, but decisions appear driven by market opportunity rather than a vision of a future state worth building toward.</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Orion Group Holdings does not articulate a Just Cause. The company's 'Who We Are' page lists core values (Safety, Quality, Delivery, Teamwork, Integrity) that are standard corporate platitudes, not a vision of a future state [5]. The company exists to build infrastructure — a necessary service, but Orion does not connect its work to a larger purpose that would inspire sacrifice or differentiate from peers. Strategic decisions (McAmis acquisition, data center pivot) are commercially driven, not purpose-driven.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Orion's organizational stability is adequate but not exceptional. CEO Travis Boone joined in September 2022, bringing AECOM experience and providing leadership continuity since then. However, the CFO transition (Alison Vasquez appointed June 2025) and some employee reviews citing departmental inconsistency in leadership quality suggest mixed organizational trust [3][5]. Core values emphasize Teamwork and Safety, which are operationally embedded in construction culture where physical safety demands mutual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Orion's competitive positioning emphasizes its niche capabilities in marine and concrete construction, but no management commentary acknowledges competitor strengths or frames rivalry as a catalyst for self-improvement [1]. The $27B pursuit pipeline suggests a focus on winning contracts rather than learning from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Orion has evolved its business model through the J.E. McAmis acquisition (strengthening marine capabilities) and strategic pivot of the Concrete segment toward data center construction, which now drives 30%+ growth [1][2]. These are meaningful adaptations to market opportunity — the company recognized that AI infrastructure demand creates a secular growth opportunity in concrete work. However, these changes are incremental extensions of existing capabilities, not transformative pivots that abandoned a core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J.E. McAmis acquisition represented a strategic bet on marine construction capabilities, and the Concrete segment pivot toward data center construction demonstrates forward-looking capital allocation during a period of tight profitability [1][4]. CEO Boone maintained FY2026 guidance ($900-950M revenue, $50-54M Adj EBITDA) despite Q2's marine segment underperformance, signaling confidence in the full-year strategy [2]. However, with net income near breakeven and 1.3x interest coverage, the company has limited financial capacity for truly courageous long-term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Orion Group Holdings is strategically positioned at the intersection of two secular growth themes: marine infrastructure investment (USACE-funded shoreline protection, beneficial use projects) and AI-driven data center construction, which powered 30%+ Concrete segment growth and 45% adjusted EBITDA growth in Q2 2026 [1][2]. FY2025 revenue of $852.3M with FY2026 guidance of $900-950M reflects mid-single-digit top-line growth, and the $27B pursuit pipeline with $1.6B in projects quoted awaiting award provides strong forward visibility [1]. The D/E ratio of 67.2% is well-managed, and Q2 2026 bookings of $275M+ (1.25x book-to-bill) signal backlog recovery after FY2025's 12% decline. At ~$410M market cap (~0.45x revenue), the stock is cheaply valued if margins normalize.</w:t>
      </w:r>
    </w:p>
    <w:p>
      <w:pPr>
        <w:spacing w:after="120"/>
      </w:pPr>
      <w:r>
        <w:rPr>
          <w:rFonts w:ascii="Calibri" w:hAnsi="Calibri"/>
          <w:b w:val="0"/>
          <w:color w:val="3A4A28"/>
          <w:sz w:val="20"/>
        </w:rPr>
        <w:t>The bear case is structural profitability and execution risk. FY2025 GAAP net income of $2.5M on $852M revenue (0.29% margin) is barely breakeven, and Q2 2026 produced a net loss of $4.1M despite 8% revenue growth, driven by marine segment timing issues [2]. The Adjusted EBITDA margin of ~5.3% offers minimal buffer against cost overruns, weather delays, or project disputes common in construction. Interest coverage of just 1.3x means debt service consumes nearly all operating income [6]. Backlog declined 12% in FY2025 ($729M to $640M) before Q2 2026's recovery — if marine project awards continue to slip, the revenue pipeline could thin further. The stock has declined ~32% from its June 2026 levels following the Q2 miss, and the Forward P/E of ~40x (on adjusted earnings) is expensive for a construction company with sub-1% GAAP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center construction boom driving continued 30%+ Concrete segment growth as hyperscalers accelerate AI infrastructure buildout through 2027-2028</w:t>
      </w:r>
    </w:p>
    <w:p>
      <w:pPr>
        <w:spacing w:before="40" w:after="40"/>
        <w:ind w:left="283"/>
      </w:pPr>
      <w:r>
        <w:rPr>
          <w:rFonts w:ascii="Calibri" w:hAnsi="Calibri"/>
          <w:b/>
          <w:color w:val="4A6B25"/>
          <w:sz w:val="20"/>
        </w:rPr>
        <w:t xml:space="preserve">2. </w:t>
      </w:r>
      <w:r>
        <w:rPr>
          <w:rFonts w:ascii="Calibri" w:hAnsi="Calibri"/>
          <w:b w:val="0"/>
          <w:color w:val="3A4A28"/>
          <w:sz w:val="20"/>
        </w:rPr>
        <w:t>Marine segment recovery as $1.6B in quoted projects convert to awards, particularly USACE shoreline protection and beneficial use infrastructure projects</w:t>
      </w:r>
    </w:p>
    <w:p>
      <w:pPr>
        <w:spacing w:before="40" w:after="40"/>
        <w:ind w:left="283"/>
      </w:pPr>
      <w:r>
        <w:rPr>
          <w:rFonts w:ascii="Calibri" w:hAnsi="Calibri"/>
          <w:b/>
          <w:color w:val="4A6B25"/>
          <w:sz w:val="20"/>
        </w:rPr>
        <w:t xml:space="preserve">3. </w:t>
      </w:r>
      <w:r>
        <w:rPr>
          <w:rFonts w:ascii="Calibri" w:hAnsi="Calibri"/>
          <w:b w:val="0"/>
          <w:color w:val="3A4A28"/>
          <w:sz w:val="20"/>
        </w:rPr>
        <w:t>Margin normalization from the McAmis acquisition integration and marine project ramp-up, potentially lifting GAAP margins from sub-1% toward the 2-3% range typical of specialty construction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profitability — 0.29% GAAP net margin and 1.3x interest coverage leave zero margin of safety for project cost overruns, weather delays, or award timing slippage that are endemic to construction</w:t>
      </w:r>
    </w:p>
    <w:p>
      <w:pPr>
        <w:spacing w:before="40" w:after="40"/>
        <w:ind w:left="283"/>
      </w:pPr>
      <w:r>
        <w:rPr>
          <w:rFonts w:ascii="Calibri" w:hAnsi="Calibri"/>
          <w:b/>
          <w:color w:val="4A6B25"/>
          <w:sz w:val="20"/>
        </w:rPr>
        <w:t xml:space="preserve">2. </w:t>
      </w:r>
      <w:r>
        <w:rPr>
          <w:rFonts w:ascii="Calibri" w:hAnsi="Calibri"/>
          <w:b w:val="0"/>
          <w:color w:val="3A4A28"/>
          <w:sz w:val="20"/>
        </w:rPr>
        <w:t>Marine segment execution risk: Q2 2026 marine revenue and profitability declined due to project award and startup timing, and if large projects continue to slip, the segment could drag consolidated results below guidance</w:t>
      </w:r>
    </w:p>
    <w:p>
      <w:pPr>
        <w:spacing w:before="40" w:after="40"/>
        <w:ind w:left="283"/>
      </w:pPr>
      <w:r>
        <w:rPr>
          <w:rFonts w:ascii="Calibri" w:hAnsi="Calibri"/>
          <w:b/>
          <w:color w:val="4A6B25"/>
          <w:sz w:val="20"/>
        </w:rPr>
        <w:t xml:space="preserve">3. </w:t>
      </w:r>
      <w:r>
        <w:rPr>
          <w:rFonts w:ascii="Calibri" w:hAnsi="Calibri"/>
          <w:b w:val="0"/>
          <w:color w:val="3A4A28"/>
          <w:sz w:val="20"/>
        </w:rPr>
        <w:t>Backlog quality uncertainty — while the $27B pursuit pipeline is large, backlog declined 12% in FY2025 and the Q2 2026 recovery (1.25x book-to-bill) needs to be sustained to support $900-950M revenue guidance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Orion's core business — marine construction (jetties, shoreline protection, dredging) and concrete construction (data centers, commercial sites) — is fundamentally immune to AI disruption [1]. Physical construction requires heavy equipment, skilled labor, site-specific engineering, environmental permitting, and hands-on execution that AI cannot substitute. The regulatory environment (USACE contracting, environmental compliance, bonding requirements) creates additional structural protection. Critically, AI infrastructure buildout is a direct demand driver for Orion's fastest-growing Concrete segment — data center construction grew 30%+ in Q2 2026, meaning AI expansion increases demand for Orion's services rather than threatening them [1][2]. The only AI-related risk is that AI-powered estimating and project management tools could improve competitor efficiency, but this is a minor productivity improvement, not an existential threat. AI Opportunity (0/1): No quantified AI revenue or AI-powered products; Orion benefits from AI-driven demand (data center construction) but does not sell AI products or services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20</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Orion Group Holdings Q2 2026 Earnings Release and Q1 2026 Results — GlobeNewsWire / StockTitan, July-August 2026</w:t>
      </w:r>
    </w:p>
    <w:p>
      <w:pPr>
        <w:spacing w:before="20" w:after="20"/>
        <w:ind w:left="170"/>
      </w:pPr>
      <w:r>
        <w:rPr>
          <w:rFonts w:ascii="Calibri" w:hAnsi="Calibri"/>
          <w:b/>
          <w:color w:val="4A6B25"/>
          <w:sz w:val="15"/>
        </w:rPr>
        <w:t xml:space="preserve">2. </w:t>
      </w:r>
      <w:r>
        <w:rPr>
          <w:rFonts w:ascii="Calibri" w:hAnsi="Calibri"/>
          <w:b w:val="0"/>
          <w:color w:val="3A4A28"/>
          <w:sz w:val="17"/>
        </w:rPr>
        <w:t>Orion Group Holdings Q2 2026 Earnings Call Highlights — Yahoo Finance Singapore, August 2026</w:t>
      </w:r>
    </w:p>
    <w:p>
      <w:pPr>
        <w:spacing w:before="20" w:after="20"/>
        <w:ind w:left="170"/>
      </w:pPr>
      <w:r>
        <w:rPr>
          <w:rFonts w:ascii="Calibri" w:hAnsi="Calibri"/>
          <w:b/>
          <w:color w:val="4A6B25"/>
          <w:sz w:val="15"/>
        </w:rPr>
        <w:t xml:space="preserve">3. </w:t>
      </w:r>
      <w:r>
        <w:rPr>
          <w:rFonts w:ascii="Calibri" w:hAnsi="Calibri"/>
          <w:b w:val="0"/>
          <w:color w:val="3A4A28"/>
          <w:sz w:val="17"/>
        </w:rPr>
        <w:t>Orion Group Holdings Corporate Governance, Leadership, and CFO Transition — oriongroupholdingsinc.com,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Orion Group Holdings FY2025 Annual Results and 2026 Guidance — GlobeNewsWire, March 3, 2026</w:t>
      </w:r>
    </w:p>
    <w:p>
      <w:pPr>
        <w:spacing w:before="20" w:after="20"/>
        <w:ind w:left="170"/>
      </w:pPr>
      <w:r>
        <w:rPr>
          <w:rFonts w:ascii="Calibri" w:hAnsi="Calibri"/>
          <w:b/>
          <w:color w:val="4A6B25"/>
          <w:sz w:val="15"/>
        </w:rPr>
        <w:t xml:space="preserve">5. </w:t>
      </w:r>
      <w:r>
        <w:rPr>
          <w:rFonts w:ascii="Calibri" w:hAnsi="Calibri"/>
          <w:b w:val="0"/>
          <w:color w:val="3A4A28"/>
          <w:sz w:val="17"/>
        </w:rPr>
        <w:t>Orion Group Holdings 'Who We Are' — oriongroupholdingsinc.com,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Simply Wall St / StockAnalysis — ORN Balance Sheet, Financial Health Metrics,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