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OSS</w:t>
      </w:r>
      <w:r>
        <w:rPr>
          <w:rFonts w:ascii="Calibri" w:hAnsi="Calibri"/>
          <w:b/>
          <w:color w:val="1A2010"/>
          <w:sz w:val="40"/>
        </w:rPr>
        <w:t xml:space="preserve">  One Stop Systems, Inc.</w:t>
      </w:r>
    </w:p>
    <w:p>
      <w:pPr>
        <w:spacing w:after="120"/>
      </w:pPr>
      <w:r>
        <w:rPr>
          <w:rFonts w:ascii="Calibri" w:hAnsi="Calibri"/>
          <w:b/>
          <w:color w:val="6E8450"/>
          <w:sz w:val="18"/>
        </w:rPr>
        <w:t>GROWTH SLEEVE · 2026-07-15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Rugged Edge Computing · NASDAQ · United States</w:t>
      </w:r>
    </w:p>
    <w:p>
      <w:pPr>
        <w:spacing w:after="80"/>
      </w:pPr>
      <w:r>
        <w:rPr>
          <w:rFonts w:ascii="Calibri" w:hAnsi="Calibri"/>
          <w:b w:val="0"/>
          <w:color w:val="3A4A28"/>
          <w:sz w:val="20"/>
        </w:rPr>
        <w:t>One Stop Systems designs and manufactures rugged, high-performance edge computing systems for AI, machine learning, sensor processing, and autonomy. OSS delivers datacenter-class compute at the edge for defense, aerospace, medical imaging, autonomous vehicles, and energy applications, combining GPUs, CPUs, PCIe switch fabrics, and flash storage for mission-critical platforms in harsh environments.</w:t>
      </w:r>
    </w:p>
    <w:p>
      <w:r>
        <w:rPr>
          <w:rFonts w:ascii="Calibri" w:hAnsi="Calibri"/>
          <w:b/>
          <w:color w:val="6E8450"/>
          <w:sz w:val="18"/>
        </w:rPr>
        <w:t>103 Employees · https://onestopsystems.com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OSS completed the strategic divestiture of its Bressner subsidiary in December 2025 for $22.4M, sharpening focus on rugged Enterprise Class AI edge computing, and launched its PCIe Gen 6.0 product line at SC25 — including HIB6110 and HIB6310 CopprLink cable adapters delivering up to 1,024 GB/s switched-fabric bandwidth — representing genuine first-to-market capability in a new product generation [1][2]. AI Deployment (2/2): OSS products ARE AI computing hardware for edge deployment — GPU-accelerated sensor fusion, deep learning inference, and real-time training on moving platforms. Q1 2026 revenue surged 55% YoY to $8.1M with demand directly tied to AI-driven defense, medical imaging, and robotics applications [1]. Market Share (1/2): OSS is a meaningful niche player in rugged edge AI compute but at $182M market cap and 103 employees remains a micro-cap with limited market dominance versus larger defense primes [4]. Product Pipeline (1/2): The $8.4M initial defense contract with potential $44M over four years, plus a $1.2M pre-production order for U.S. Army combat vehicles, provide specific near-term revenue visibility, though formal multi-year pipeline disclosure is limited [3]. R&amp;D Intensity (1/1): R&amp;D spending is high relative to revenue for a 103-person company focused on next-gen PCIe, rugged server design, and proprietary software including U-BMC management and Ion Accelerator storage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OSS articulates its purpose as delivering 'high-performance edge computing solutions that accelerate AI where it matters most,' which is clear and identifies both the what (edge AI compute) and the who (defense, medical, autonomous systems). It is functional and specific but does not articulate a deeper purpose or inspire beyond the technological mission [2]. Community Impact (0/2): No evidence of charitable programs, foundation, or community investment was identified for this 103-employee micro-cap company. Employee Retention (0/2): No employee tenure, turnover, or culture data is publicly available for a company of this size. Insider Buying (0/2): No discretionary insider buying was identified in the last 12 months. One director sold 8,000 shares at $17.64 on May 26, 2026 following RSU vesting to cover tax withholdings, which is routine and not indicative of sentiment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balance sheet is exceptionally clean with $34.4M cash against only $1.42M debt (D/E of 3%), providing a net cash position of $32.96M or $1.33 per share — a meaningful cushion for a $182M market cap company [1]. Q1 2026 gross margin expanded 610 basis points to 51.6%, and Q4 2025 continuing-operations net income was $2.0M, signaling a genuine profitability inflection [1][5]. However, trailing twelve-month ROE remains negative at -3.3% reflecting prior-period losses from the Bressner wind-down, and TTM net margin is -3.5%. The forward P/E of 367x reflects extremely limited analyst coverage and consensus estimates that have not yet incorporated the company's accelerating profitability. Revenue growth 5-year CAGR of 2.0% is dragged down by the legacy Bressner business, while recent continuing-operations growth of 55% YoY demonstrates the transformed business trajectory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OSS operates with a technically competent but finite mindset typical of small defense technology companies. The strategic decision to divest Bressner and refocus on core edge AI computing demonstrates some strategic discipline, but the company lacks an articulated Just Cause beyond technology execution. At 103 employees with limited public culture or leadership philosophy data, the infinite game dimensions are difficult to evaluate — but the absence of evidence itself suggests a company focused on near-term execution over long-term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OSS has a functional purpose — building edge computing for defense and AI — but no articulated Just Cause in Sinek's sense. There is no vision of a future state that transcends the company's products. The company exists to build and sell hardware, not to advance a cause. The Bressner divestiture showed strategic focus but was driven by business logic, not purpose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evidence of organizational trust, culture practices, or employee empowerment was found. At 103 employees, the company is small enough that culture depends heavily on individual managers. No Glassdoor-style data, employee retention metrics, or leadership philosophy statements are publicly available. The absence of data defaults to a 0 score per rubric rules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OSS frames its competitive relationships. The company competes against larger defense primes and edge computing providers but its competitive language in earnings calls and presentations focuses on product superiority ('first-to-market PCIe Gen 6') rather than learning from rivals [1][5].</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sale of Bressner in December 2025 represented a meaningful strategic pivot — OSS abandoned a revenue-generating distribution business to concentrate entirely on rugged edge AI computing. This was not a transformative reinvention of the company's core model (it was always a compute hardware company) but it was a deliberate pruning that sharpened strategic focus at the cost of near-term revenue [2][5].</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Divesting Bressner required courage — the subsidiary generated meaningful revenue, and selling it reduced the company's top line in the short term. Management chose long-term strategic clarity over near-term revenue, guiding investors toward a smaller but higher-margin, higher-growth continuing business with 40%+ gross margins and positive EBITDA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OSS is executing a compelling micro-cap turnaround story in the defense edge AI compute space. After divesting its legacy Bressner distribution business in December 2025, the company refocused entirely on rugged GPU-accelerated computing platforms for defense, medical imaging, and autonomous systems. Q1 2026 revenue surged 55% YoY to $8.1M with gross margins expanding to 51.6%, while Q4 2025 posted a record 58.5% gross margin and $2.0M net income on continuing operations [1][5]. The $8.4M defense prime contract with $44M potential over four years, plus a $1.2M U.S. Army combat vehicle pre-production order, provide concrete evidence of growing defense penetration [3]. Management guides 20-25% full-year 2026 revenue growth with ~40% gross margins and positive EBITDA, while the PCIe Gen 6.0 product launch positions OSS at the technology frontier.</w:t>
      </w:r>
    </w:p>
    <w:p>
      <w:pPr>
        <w:spacing w:after="120"/>
      </w:pPr>
      <w:r>
        <w:rPr>
          <w:rFonts w:ascii="Calibri" w:hAnsi="Calibri"/>
          <w:b w:val="0"/>
          <w:color w:val="3A4A28"/>
          <w:sz w:val="20"/>
        </w:rPr>
        <w:t>The primary risk is micro-cap concentration and execution uncertainty. At $182M market cap, 103 employees, and ~$35M TTM revenue, OSS has virtually no margin for error — a single contract delay or defense budget sequester could meaningfully impact results [4]. The trailing P/E of 52x prices in significant growth expectations, yet the forward P/E of 367x reflects analyst consensus that has not kept pace with the company's profitability inflection, creating valuation opacity. The 5-year revenue CAGR of just 2.0% reflects the drag of the now-divested Bressner business, making it difficult to assess normalized long-term growth [4]. Customer concentration in defense creates binary risk — OSS depends on a small number of prime contractor relationships for a disproportionate share of revenue. Finally, as a micro-cap with limited institutional coverage and 103 employees, key-person risk and liquidity risk remain elevated despite the $28M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Expansion of the $8.4M defense platform contract toward its $44M four-year potential as the initial system design progresses to full-rate production across the defense prime's fleet</w:t>
      </w:r>
    </w:p>
    <w:p>
      <w:pPr>
        <w:spacing w:before="40" w:after="40"/>
        <w:ind w:left="283"/>
      </w:pPr>
      <w:r>
        <w:rPr>
          <w:rFonts w:ascii="Calibri" w:hAnsi="Calibri"/>
          <w:b/>
          <w:color w:val="4A6B25"/>
          <w:sz w:val="20"/>
        </w:rPr>
        <w:t xml:space="preserve">2. </w:t>
      </w:r>
      <w:r>
        <w:rPr>
          <w:rFonts w:ascii="Calibri" w:hAnsi="Calibri"/>
          <w:b w:val="0"/>
          <w:color w:val="3A4A28"/>
          <w:sz w:val="20"/>
        </w:rPr>
        <w:t>PCIe Gen 6.0 product adoption driving ASP expansion and design wins in next-generation naval, submarine, and autonomous vehicle platforms requiring 1,024 GB/s switched-fabric bandwidth</w:t>
      </w:r>
    </w:p>
    <w:p>
      <w:pPr>
        <w:spacing w:before="40" w:after="40"/>
        <w:ind w:left="283"/>
      </w:pPr>
      <w:r>
        <w:rPr>
          <w:rFonts w:ascii="Calibri" w:hAnsi="Calibri"/>
          <w:b/>
          <w:color w:val="4A6B25"/>
          <w:sz w:val="20"/>
        </w:rPr>
        <w:t xml:space="preserve">3. </w:t>
      </w:r>
      <w:r>
        <w:rPr>
          <w:rFonts w:ascii="Calibri" w:hAnsi="Calibri"/>
          <w:b w:val="0"/>
          <w:color w:val="3A4A28"/>
          <w:sz w:val="20"/>
        </w:rPr>
        <w:t>Profitability inflection accelerating as gross margins sustain above 40% and operating leverage on 20-25% revenue growth drives the company toward consistent GAAP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Micro-cap concentration risk — at $182M market cap and 103 employees, a single contract cancellation, defense budget cut, or key-person departure could create outsized impact on financial results</w:t>
      </w:r>
    </w:p>
    <w:p>
      <w:pPr>
        <w:spacing w:before="40" w:after="40"/>
        <w:ind w:left="283"/>
      </w:pPr>
      <w:r>
        <w:rPr>
          <w:rFonts w:ascii="Calibri" w:hAnsi="Calibri"/>
          <w:b/>
          <w:color w:val="4A6B25"/>
          <w:sz w:val="20"/>
        </w:rPr>
        <w:t xml:space="preserve">2. </w:t>
      </w:r>
      <w:r>
        <w:rPr>
          <w:rFonts w:ascii="Calibri" w:hAnsi="Calibri"/>
          <w:b w:val="0"/>
          <w:color w:val="3A4A28"/>
          <w:sz w:val="20"/>
        </w:rPr>
        <w:t>Trailing P/E of 52x prices in substantial growth that has not yet been validated beyond two quarters of profitability, and limited analyst coverage creates valuation uncertainty</w:t>
      </w:r>
    </w:p>
    <w:p>
      <w:pPr>
        <w:spacing w:before="40" w:after="40"/>
        <w:ind w:left="283"/>
      </w:pPr>
      <w:r>
        <w:rPr>
          <w:rFonts w:ascii="Calibri" w:hAnsi="Calibri"/>
          <w:b/>
          <w:color w:val="4A6B25"/>
          <w:sz w:val="20"/>
        </w:rPr>
        <w:t xml:space="preserve">3. </w:t>
      </w:r>
      <w:r>
        <w:rPr>
          <w:rFonts w:ascii="Calibri" w:hAnsi="Calibri"/>
          <w:b w:val="0"/>
          <w:color w:val="3A4A28"/>
          <w:sz w:val="20"/>
        </w:rPr>
        <w:t>Customer concentration in defense prime contractors means revenue visibility depends on a small number of relationships, and defense procurement timelines are inherently unpredictable with potential for multi-quarter delays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OSS is the definition of AI infrastructure — the company designs and manufactures the physical GPU-accelerated computing platforms that run AI workloads at the edge. AI cannot displace a company that builds AI hardware; AI adoption directly increases demand for OSS products. The defense applications (naval platforms like P-8 and Virginia-class submarines, Army combat vehicles, drones) require ruggedized physical hardware that AI structurally cannot substitute [2][3]. The shift toward edge AI processing — running inference and training on moving platforms rather than in centralized data centers — is a secular tailwind for OSS's core capability. AI Opportunity (1/1): OSS generates 100% of its revenue from AI-enabling edge computing hardware. Q1 2026 revenue grew 55% YoY driven directly by AI demand across defense, medical imaging, robotics, and energy sectors, with management guiding 20-25% full-year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One Stop Systems Q1 2026 Earnings Release — SEC Form 8-K, May 2026</w:t>
      </w:r>
    </w:p>
    <w:p>
      <w:pPr>
        <w:spacing w:before="20" w:after="20"/>
        <w:ind w:left="170"/>
      </w:pPr>
      <w:r>
        <w:rPr>
          <w:rFonts w:ascii="Calibri" w:hAnsi="Calibri"/>
          <w:b/>
          <w:color w:val="4A6B25"/>
          <w:sz w:val="15"/>
        </w:rPr>
        <w:t xml:space="preserve">2. </w:t>
      </w:r>
      <w:r>
        <w:rPr>
          <w:rFonts w:ascii="Calibri" w:hAnsi="Calibri"/>
          <w:b w:val="0"/>
          <w:color w:val="3A4A28"/>
          <w:sz w:val="17"/>
        </w:rPr>
        <w:t>One Stop Systems FY2025 Annual Report (10-K) — SEC Filing, March 2026</w:t>
      </w:r>
    </w:p>
    <w:p>
      <w:pPr>
        <w:spacing w:before="20" w:after="20"/>
        <w:ind w:left="170"/>
      </w:pPr>
      <w:r>
        <w:rPr>
          <w:rFonts w:ascii="Calibri" w:hAnsi="Calibri"/>
          <w:b/>
          <w:color w:val="4A6B25"/>
          <w:sz w:val="15"/>
        </w:rPr>
        <w:t xml:space="preserve">3. </w:t>
      </w:r>
      <w:r>
        <w:rPr>
          <w:rFonts w:ascii="Calibri" w:hAnsi="Calibri"/>
          <w:b w:val="0"/>
          <w:color w:val="3A4A28"/>
          <w:sz w:val="17"/>
        </w:rPr>
        <w:t>One Stop Systems $8.4M Defense Contract and $1.2M Army Combat Vehicle Order Announcements — StockTitan,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OSS Key Statistics and Valuation Metrics,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One Stop Systems Q4 2025 Results and FY2026 Guidance — SEC Form 8-K,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