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OTF</w:t>
      </w:r>
      <w:r>
        <w:rPr>
          <w:rFonts w:ascii="Calibri" w:hAnsi="Calibri"/>
          <w:b/>
          <w:color w:val="1A2010"/>
          <w:sz w:val="40"/>
        </w:rPr>
        <w:t xml:space="preserve">  Blue Owl Technology Finance Corp.</w:t>
      </w:r>
    </w:p>
    <w:p>
      <w:pPr>
        <w:spacing w:after="120"/>
      </w:pPr>
      <w:r>
        <w:rPr>
          <w:rFonts w:ascii="Calibri" w:hAnsi="Calibri"/>
          <w:b/>
          <w:color w:val="6E8450"/>
          <w:sz w:val="18"/>
        </w:rPr>
        <w:t>DIVIDEND SLEEVE · 2026-07-14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Business Development Company · NYSE · United States</w:t>
      </w:r>
    </w:p>
    <w:p>
      <w:pPr>
        <w:spacing w:after="80"/>
      </w:pPr>
      <w:r>
        <w:rPr>
          <w:rFonts w:ascii="Calibri" w:hAnsi="Calibri"/>
          <w:b w:val="0"/>
          <w:color w:val="3A4A28"/>
          <w:sz w:val="20"/>
        </w:rPr>
        <w:t>Blue Owl Technology Finance Corp. is a specialty finance company focused on originating and managing a diversified portfolio of debt and equity investments in U.S. technology-related companies, with a strategic focus on software. Externally managed by Blue Owl Technology Credit Advisors, LLC, an affiliate of Blue Owl Capital Inc. (NYSE: OWL). OTF is the largest tech-focused business development company (BDC) with a portfolio of $14.1 billion across 203 companies as of March 2026. Listed on NYSE in May 2025 after operating as a non-traded BDC since 2018.</w:t>
      </w:r>
    </w:p>
    <w:p>
      <w:r>
        <w:rPr>
          <w:rFonts w:ascii="Calibri" w:hAnsi="Calibri"/>
          <w:b/>
          <w:color w:val="6E8450"/>
          <w:sz w:val="18"/>
        </w:rPr>
        <w:t>https://www.blueowltechnologyfinance.com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OTF successfully transitioned from a non-traded BDC to NYSE-listed in May 2025 and completed the merger with OTF II, expanding the portfolio from approximately $8B to $14.1B [1][3]. While this represents meaningful corporate evolution, BDCs do not innovate products in the traditional sense — the core business of originating private credit has remained structurally unchanged. AI Deployment (0/2): OTF does not deploy AI products. Management has noted that many portfolio companies are 'taking steps to adapt to the evolving AI environment,' but OTF itself generates no AI-specific revenue or cost savings [1]. Market Share (1/2): OTF positions itself as the largest technology-focused BDC, with $14.1 billion in portfolio investments across 203 companies [1]. This is a meaningful niche position, though the private credit market is large and competitive with players like Ares, Golub, and other Blue Owl vehicles. Product Pipeline (1/1): New investment commitments of $1.7 billion in Q1 2026 demonstrate active deal flow, and the platform continues to scale through Blue Owl Capital's origination network [1]. R&amp;D Intensity (0/1): Not applicable for a financial company —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Blue Owl Technology Finance's stated purpose is to provide 'customized debt and structured capital solutions to technology-related companies,' focusing on durable, mission-critical software businesses [3]. This is clear and specific to a niche (tech credit) but does not articulate a deeper purpose beyond capital provision. The tech focus differentiates from generic BDCs but remains fundamentally a financial function. Community Impact (1/2): Blue Owl Capital became a signatory to the UN Principles for Responsible Investment (PRI) in 2021 and adopted a comprehensive ESG Policy incorporating environmental, social, and governance factors into investment practices [3]. This represents institutional commitment beyond pure returns, though no specific charitable programs or community investment dollar amounts were identified for OTF specifically. Employee Retention (0/2): OTF is externally managed by Blue Owl Technology Credit Advisors — the company has no direct employees. Employee culture and retention data is not applicable at the fund level. Insider Buying (0/2): No evidence of meaningful net insider buying by OTF leadership was identified in the last 12 months. As an externally managed vehicle, insider alignment flows primarily through Blue Owl Capital's (OWL) equity ownership.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OTF trades at $10.39 with a PE ratio of 11.47, well below the 20x target, reflecting BDC market discount dynamics — NAV per share was $16.49 as of Q1 2026, implying a 37% discount to book [1]. Profit margin of 32.78% reflects the spread-based lending model's inherent profitability. Debt-to-equity of 0.85x (85%) is modestly above the 70% target but reasonable for a leveraged lending vehicle [1]. ROE of 7.43% is below the 15% target, partly reflecting the NAV dilution from the OTF II merger and market-driven mark-to-market adjustments that reduced NAV from $17.33 in Q4 2025 [1]. Revenue growth of approximately 13% YoY benefits from inorganic expansion through the OTF II merger. The dividend is well-supported with $0.50/share of spillover income, though the Q1 2026 payout ratio of 108% (dividends of $0.40 vs GAAP NII of $0.37) exceeds current-quarter earnings, relying on accumulated undistributed income [1][2]. Non-accruals remain minimal at 0.1% of fair value, indicating strong credit quality across the 203-company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Blue Owl Technology Finance operates as a financially-oriented vehicle designed to generate current income for shareholders. While the Blue Owl Capital platform has built a durable business with strong origination capabilities and a focused tech-lending strategy, the BDC structure inherently prioritizes quarterly distributions over transformative long-term vision. The company exists to deploy capital efficiently, not to advance a cause beyond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OTF's purpose is generating income through technology-focused private credit — a financial function, not an aspirational cause. Blue Owl Capital's broader platform articulates a vision of building 'permanent capital solutions' and providing reliable financing to mission-critical software businesses [3], which has modest purpose-driven elements. However, no evidence suggests this purpose drives strategic decisions in a way that Sinek would recognize as a Just Cause. The company exists to maximize risk-adjusted returns, not to advance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OTF is externally managed by Blue Owl Technology Credit Advisors, with Craig W. Packer as CEO and Erik Bissonnette as President. The management team brings stability and experience from Blue Owl Capital's Credit platform [3]. However, the external management structure means alignment between management and shareholders is mediated through management fees, which can create tension. No specific data on team culture or trust dynamics was available, as the investment professionals work within the broader Blue Owl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OTF's competitive language focuses on being the 'largest' tech-focused BDC and emphasizes scale advantages. No evidence of management acknowledging competitors' strengths as motivation for self-improvement was found. The private credit market is competitive, but OTF's positioning is about dominance (scale, deal flow, platform) rather than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OTF's transition from non-traded BDC to NYSE-listed public company represents a meaningful structural evolution, opening access to public market investors and enabling the $200M share repurchase program [3]. The merger with OTF II approximately doubled the portfolio. These are significant pivots, though they were incremental expansions of the same business model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transition OTF from a non-traded to a NYSE-listed BDC in May 2025 required conviction — public markets introduce new scrutiny, short-term trading pressure, and the current significant discount to NAV (37%) that would not exist in a non-traded structure [1][3]. The OTF II merger demonstrated willingness to scale aggressively. However, these decisions were primarily strategic and financial, not courageous bets in service of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 Owl Technology Finance offers a compelling yield of 15.4% (including special dividends) supported by a $14.1 billion portfolio of 203 technology-focused companies with minimal credit losses — non-accruals represent just 0.1% of fair value [1]. The Q1 2026 earnings of $0.37 GAAP NII per share and $0.50 per share of spillover income provide a cushion for the $0.40 quarterly distribution. Blue Owl Capital's platform provides institutional-quality deal origination, with $1.7 billion in new commitments during Q1 2026 [1]. The tech-focused strategy positions OTF to benefit from secular demand for private credit among software and technology companies, while the 0.85x debt-to-equity leverage ratio provides room for portfolio growth.</w:t>
      </w:r>
    </w:p>
    <w:p>
      <w:pPr>
        <w:spacing w:after="120"/>
      </w:pPr>
      <w:r>
        <w:rPr>
          <w:rFonts w:ascii="Calibri" w:hAnsi="Calibri"/>
          <w:b w:val="0"/>
          <w:color w:val="3A4A28"/>
          <w:sz w:val="20"/>
        </w:rPr>
        <w:t>The primary concern is the significant 37% discount to NAV — OTF trades at $10.39 versus $16.49 book value — which signals market skepticism about the portfolio's mark-to-market valuations or the sustainability of current distribution levels [1]. The payout ratio exceeded current-quarter NII at 108%, requiring drawdown of accumulated spillover income to fund distributions. Q1 2026 revenue of $325.9 million missed consensus estimates of $340.1 million, contributing to the stock's underperformance [1]. External management creates structural conflicts — management fees are based on assets under management, incentivizing growth over risk discipline. As a newly public BDC (NYSE-listed since May 2025), OTF lacks the multi-cycle track record that income investors typically require. Rising interest rates support spread income, but a credit deterioration cycle in the technology sector could rapidly erode portfolio values and force distribution cuts.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yield stabilization and potential distribution increases as spillover income builds, supported by $1.7B quarterly new investment commitments and expanding tech credit demand</w:t>
      </w:r>
    </w:p>
    <w:p>
      <w:pPr>
        <w:spacing w:before="40" w:after="40"/>
        <w:ind w:left="283"/>
      </w:pPr>
      <w:r>
        <w:rPr>
          <w:rFonts w:ascii="Calibri" w:hAnsi="Calibri"/>
          <w:b/>
          <w:color w:val="4A6B25"/>
          <w:sz w:val="20"/>
        </w:rPr>
        <w:t xml:space="preserve">2. </w:t>
      </w:r>
      <w:r>
        <w:rPr>
          <w:rFonts w:ascii="Calibri" w:hAnsi="Calibri"/>
          <w:b w:val="0"/>
          <w:color w:val="3A4A28"/>
          <w:sz w:val="20"/>
        </w:rPr>
        <w:t>Narrowing of the 37% NAV discount as the company builds a public market track record and the $200M share repurchase program absorbs shares below book value</w:t>
      </w:r>
    </w:p>
    <w:p>
      <w:pPr>
        <w:spacing w:before="40" w:after="40"/>
        <w:ind w:left="283"/>
      </w:pPr>
      <w:r>
        <w:rPr>
          <w:rFonts w:ascii="Calibri" w:hAnsi="Calibri"/>
          <w:b/>
          <w:color w:val="4A6B25"/>
          <w:sz w:val="20"/>
        </w:rPr>
        <w:t xml:space="preserve">3. </w:t>
      </w:r>
      <w:r>
        <w:rPr>
          <w:rFonts w:ascii="Calibri" w:hAnsi="Calibri"/>
          <w:b w:val="0"/>
          <w:color w:val="3A4A28"/>
          <w:sz w:val="20"/>
        </w:rPr>
        <w:t>Continued credit quality demonstrated by non-accruals at 0.1% of fair value, which should build investor confidence in the durability of the 15%+ distribution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108% exceeds current-quarter NII, relying on accumulated spillover income — a credit deterioration cycle or rising non-accruals could force distribution cuts, which would compress the stock price further below NAV</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fee structure creates misaligned incentives — management fees based on AUM incentivize portfolio growth over credit discipline, and the 37% NAV discount suggests the market has concerns about portfolio valuations</w:t>
      </w:r>
    </w:p>
    <w:p>
      <w:pPr>
        <w:spacing w:before="40" w:after="40"/>
        <w:ind w:left="283"/>
      </w:pPr>
      <w:r>
        <w:rPr>
          <w:rFonts w:ascii="Calibri" w:hAnsi="Calibri"/>
          <w:b/>
          <w:color w:val="4A6B25"/>
          <w:sz w:val="20"/>
        </w:rPr>
        <w:t xml:space="preserve">3. </w:t>
      </w:r>
      <w:r>
        <w:rPr>
          <w:rFonts w:ascii="Calibri" w:hAnsi="Calibri"/>
          <w:b w:val="0"/>
          <w:color w:val="3A4A28"/>
          <w:sz w:val="20"/>
        </w:rPr>
        <w:t>Newly public BDC with limited public market track record — the transition from non-traded to NYSE-listed in May 2025 means OTF has not yet navigated a full credit cycle as a public company, creating uncertainty about performance under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OTF's core business of originating and managing private credit to technology companies involves relationship-based lending, credit underwriting, and portfolio monitoring — functions that require human judgment, deep industry expertise, and proprietary deal flow networks that AI cannot easily replicate [1]. Switching costs are high for borrowers (covenant-based lending relationships), and the regulatory framework around BDCs provides structural barriers. However, AI could eventually automate aspects of credit analysis, loan documentation, and portfolio monitoring, marginally compressing the value proposition of external management. The broader private credit market faces no meaningful AI substitution risk — companies will always need capital. AI Opportunity (0/1): OTF does not generate AI-specific revenue. While portfolio companies in the software sector may benefit from AI tailwinds (increasing demand for OTF's lending services), OTF itself is a capital provider, not an AI product company [1]. No quantifiable AI revenue was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Technology Finance Q1 2026 Earnings Release and Financial Results, May 6, 2026</w:t>
      </w:r>
    </w:p>
    <w:p>
      <w:pPr>
        <w:spacing w:before="20" w:after="20"/>
        <w:ind w:left="170"/>
      </w:pPr>
      <w:r>
        <w:rPr>
          <w:rFonts w:ascii="Calibri" w:hAnsi="Calibri"/>
          <w:b/>
          <w:color w:val="4A6B25"/>
          <w:sz w:val="15"/>
        </w:rPr>
        <w:t xml:space="preserve">2. </w:t>
      </w:r>
      <w:r>
        <w:rPr>
          <w:rFonts w:ascii="Calibri" w:hAnsi="Calibri"/>
          <w:b w:val="0"/>
          <w:color w:val="3A4A28"/>
          <w:sz w:val="17"/>
        </w:rPr>
        <w:t>Blue Owl Capital Q1 2026 Investor Presentation — blueowltechnologyfinance.com, April 2026</w:t>
      </w:r>
    </w:p>
    <w:p>
      <w:pPr>
        <w:spacing w:before="20" w:after="20"/>
        <w:ind w:left="170"/>
      </w:pPr>
      <w:r>
        <w:rPr>
          <w:rFonts w:ascii="Calibri" w:hAnsi="Calibri"/>
          <w:b/>
          <w:color w:val="4A6B25"/>
          <w:sz w:val="15"/>
        </w:rPr>
        <w:t xml:space="preserve">3. </w:t>
      </w:r>
      <w:r>
        <w:rPr>
          <w:rFonts w:ascii="Calibri" w:hAnsi="Calibri"/>
          <w:b w:val="0"/>
          <w:color w:val="3A4A28"/>
          <w:sz w:val="17"/>
        </w:rPr>
        <w:t>Blue Owl Technology Finance NYSE Listing, OTF II Merger, and ESG/PRI Disclosures — Company Website and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OTF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