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OWL</w:t>
      </w:r>
      <w:r>
        <w:rPr>
          <w:rFonts w:ascii="Calibri" w:hAnsi="Calibri"/>
          <w:b/>
          <w:color w:val="1A2010"/>
          <w:sz w:val="40"/>
        </w:rPr>
        <w:t xml:space="preserve">  Blue Owl Capital Inc.</w:t>
      </w:r>
    </w:p>
    <w:p>
      <w:pPr>
        <w:spacing w:after="120"/>
      </w:pPr>
      <w:r>
        <w:rPr>
          <w:rFonts w:ascii="Calibri" w:hAnsi="Calibri"/>
          <w:b/>
          <w:color w:val="6E8450"/>
          <w:sz w:val="18"/>
        </w:rPr>
        <w:t>DIVIDEND SLEEVE · 2026-08-11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Blue Owl Capital is an alternative asset manager with $319B in AUM as of June 2026, operating across three platforms: GP Strategic Capital (minority stakes in other asset managers), Direct Lending (private credit to middle-market companies), and Real Estate. Co-founded by Doug Ostrover and Marc Lipschultz, the firm went public via SPAC in May 2021 and has scaled rapidly through acquisitions (Owl Rock, Dyal Capital, Kuvare Asset Management) and organic growth. Q2 2026 revenue was $753.1M with fee-related earnings margin of 58.5%.</w:t>
      </w:r>
    </w:p>
    <w:p>
      <w:r>
        <w:rPr>
          <w:rFonts w:ascii="Calibri" w:hAnsi="Calibri"/>
          <w:b/>
          <w:color w:val="6E8450"/>
          <w:sz w:val="18"/>
        </w:rPr>
        <w:t>1,200 Employees · https://www.blueowl.com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Blue Owl scaled from its 2021 SPAC formation to $319B AUM in five years through a series of transformative acquisitions — combining Owl Rock Capital (direct lending), Dyal Capital (GP stakes), and Kuvare Asset Management (insurance) into a multi-strategy alternative platform [1]. The GP Strategic Capital business — taking minority stakes in other asset managers — is a differentiated model that few competitors have replicated at scale. However, the core activity remains alternative credit and asset management, not a category-defining innovation. AI Deployment (0/2): No AI products or AI-driven cost savings were identified. Blue Owl is a relationship-driven financial firm with no evidence of deploying AI in customer-facing products or quantifying internal AI efficiency gains. Market Share (1/2): Blue Owl is a meaningful player in alternative asset management ($319B AUM) with a unique niche in GP stakes, but remains significantly smaller than Blackstone ($1T+), Apollo ($730B+), and KKR ($600B+) [1]. Product Pipeline (0/2): No specific next-generation products with named launch dates or revenue visibility. Growth strategy is centered on continued AUM accumulation and fundraising rather than product innovation. R&amp;D Intensity (0/1): Not applicable — alternative asset managers do not have meaningful R&amp;D budgets.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Blue Owl's stated purpose centers on providing flexible capital solutions to middle-market companies and GP partners — a clear commercial proposition but generic and interchangeable with any alternative asset manager. There is no articulated vision of a better future or purpose beyond generating returns [3]. Community Impact (0/2): No evidence of distinctive charitable programs, community investment, or foundation activity was found. Blue Owl hired a Head of ESG in 2022 and became a UN PRI signatory, but these are standard institutional practices, not evidence of community impact [3]. Employee Retention (1/2): All four co-founders (Ostrover, Lipschultz, Zarecki, Packer) remain active in senior roles five years post-IPO, and management compensation is heavily weighted toward multi-year equity tied to fee-related earnings — suggesting alignment and stability at the top [2]. However, no firm-wide retention or tenure data is available. Insider Buying (0/2): Management holds substantial equity through retained units in Blue Owl Capital Group LLC, but this is compensation-based ownership rather than open-market purchasing. No evidence of meaningful net insider buying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Blue Owl's GAAP financials significantly understate economic profitability — the fee-related earnings margin is 58.5%, but GAAP profit margin is only 2.96% due to equity-based compensation, intangible amortization from acquisitions, and non-controlling interest allocations [1]. D/E of 75% is comfortably below the 70% target threshold (scores near-perfect). Forward P/E of 10.90x is well below the 20x target, reflecting attractive valuation. However, GAAP ROE of 5.70% is below the 15% target, and the GAAP payout ratio exceeds 100% when measured against reported earnings (though distributable earnings of ~$0.88/share support the $0.92 annual dividend). Revenue growth of ~8% YoY falls slightly below the 10% target [1]. Consecutive years paid (5) and dividend growth CAGR (~15%) are partially developed. Liquidity is adequate at ~$68M average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Blue Owl is a young firm (founded 2021) that has not yet faced the tests that reveal infinite-game thinking — leadership transitions, major crises, or moments requiring sacrifice of short-term performance for long-term capability. The founder-led structure with all four co-founders remaining active is a positive signal for continuity, but the firm exists primarily to generate returns for investors rather than to advance a cause beyond financial performance. The rapid scaling through acquisitions reflects an empire-building orientation typical of finite-game players in alternative asset management.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Blue Owl's purpose centers on providing flexible capital solutions to companies and GP partners — a functional commercial description, not a vision of a future state so appealing that people would sacrifice to advance it. The firm was created through a financial combination (SPAC merger of Owl Rock and Dyal Capital) optimized for scale and market access, not in service of a founding cause [1]. While providing middle-market credit fills a genuine financing gap, this is indistinguishable from any alternative lender's value proposition.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Blue Owl maintains leadership stability with all four co-founders active in senior roles and management compensation heavily weighted toward multi-year equity tied to fee-related earnings rather than short-term revenue [2]. This alignment structure suggests trust at the senior leadership level. However, no data on broader organizational culture, employee empowerment, or voluntary turnover was available. The firm is relatively small (~1,200 employees) which can foster closer-knit teams but also lacks the scale to draw firm conclusions about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commentary that references learning from competitors, acknowledges rivals' strengths, or frames competition as motivation for self-improvement. Blue Owl's competitive positioning focuses on its differentiated GP stakes model and scale of AUM rather than explicitly engaging with competitive dynamics or acknowledging where larger competitors (Blackstone, Apollo, KKR) outperform.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Blue Owl has expanded beyond its original direct lending and GP stakes businesses into real estate credit and insurance asset management through the Kuvare acquisition, demonstrating willingness to enter adjacent markets [1]. The co-CEO structure (Ostrover and Lipschultz) signals organizational flexibility. However, these expansions are incremental adjacencies within alternative asset management, not transformative reinventions of the business model. The firm is too young (5 years) to have faced the kind of existential test that reveals true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original decision to form Blue Owl through a SPAC merger combining Owl Rock and Dyal Capital was a bold bet that consolidated complementary businesses into a diversified alternative platform [1]. Management's commitment to permanent capital vehicles with long lock-up periods demonstrates preference for stable, long-term capital over short-term fundraising optimization. However, no evidence of sacrificing near-term results for long-term capability was identified — the firm has consistently prioritized AUM growth and fee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Blue Owl Capital at 10.90x forward earnings offers a high-yield (9.51%) entry into the fastest-growing segment of financial services — alternative asset management — with $319B AUM growing 12% YoY and fee-related earnings margin of 58.5% [1]. The GP Strategic Capital business (minority stakes in other asset managers) is a structurally unique model that generates permanent capital fees with minimal redemption risk. Revenue of $753.1M in Q2 2026 beat estimates by 9.6%, and management guided for full-year FRE and distributable earnings to exceed consensus. The founder-led structure with all four co-founders active and heavily invested in equity ensures alignment. D/E of 75% provides balance sheet conservatism unusual for financial firms.</w:t>
      </w:r>
    </w:p>
    <w:p>
      <w:pPr>
        <w:spacing w:after="120"/>
      </w:pPr>
      <w:r>
        <w:rPr>
          <w:rFonts w:ascii="Calibri" w:hAnsi="Calibri"/>
          <w:b w:val="0"/>
          <w:color w:val="3A4A28"/>
          <w:sz w:val="20"/>
        </w:rPr>
        <w:t>The bear case centers on GAAP distortions, growth deceleration, and structural concerns. GAAP profit margin of 2.96% and ROE of 5.70% dramatically understate Blue Owl's economic profitability but create a low infrastructure score (6) in quantitative screens that use reported financials [4]. Revenue growth decelerated to 7.1% in Q2 2026 from 13-14% in Q1, raising questions about whether the rapid scaling phase is ending as AUM reaches $319B [1]. The distributable earnings payout ratio of ~105% leaves no margin for dividend growth without earnings acceleration — any shortfall in fee revenue would pressure the $0.92 annual dividend. The firm's 5-year track record as a public company provides limited evidence of durability through credit cycles, and a recession-driven increase in credit defaults could impair the direct lending portfolio. Innovation and Inspiration scores are structurally low (3 and 2) because IOWN's scoring framework rewards product innovation and purpose-driven leadership that financial firms rarely possess. The Inspire Impact Score of 29 (ALIGNED) is a relative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AUM growth trajectory toward $400B+ driven by institutional allocation shifts toward alternative credit and private markets, with $7.8B in new capital commitments raised in Q2 2026 alone [1]</w:t>
      </w:r>
    </w:p>
    <w:p>
      <w:pPr>
        <w:spacing w:before="40" w:after="40"/>
        <w:ind w:left="283"/>
      </w:pPr>
      <w:r>
        <w:rPr>
          <w:rFonts w:ascii="Calibri" w:hAnsi="Calibri"/>
          <w:b/>
          <w:color w:val="4A6B25"/>
          <w:sz w:val="20"/>
        </w:rPr>
        <w:t xml:space="preserve">2. </w:t>
      </w:r>
      <w:r>
        <w:rPr>
          <w:rFonts w:ascii="Calibri" w:hAnsi="Calibri"/>
          <w:b w:val="0"/>
          <w:color w:val="3A4A28"/>
          <w:sz w:val="20"/>
        </w:rPr>
        <w:t>Management guidance to beat full-year 2026 FRE and distributable earnings consensus, with fee-related earnings margin of 58.5% providing substantial operating leverage on incremental revenue [1]</w:t>
      </w:r>
    </w:p>
    <w:p>
      <w:pPr>
        <w:spacing w:before="40" w:after="40"/>
        <w:ind w:left="283"/>
      </w:pPr>
      <w:r>
        <w:rPr>
          <w:rFonts w:ascii="Calibri" w:hAnsi="Calibri"/>
          <w:b/>
          <w:color w:val="4A6B25"/>
          <w:sz w:val="20"/>
        </w:rPr>
        <w:t xml:space="preserve">3. </w:t>
      </w:r>
      <w:r>
        <w:rPr>
          <w:rFonts w:ascii="Calibri" w:hAnsi="Calibri"/>
          <w:b w:val="0"/>
          <w:color w:val="3A4A28"/>
          <w:sz w:val="20"/>
        </w:rPr>
        <w:t>9.51% dividend yield with low GAAP PE of 10.90x creates a compelling total return profile if AUM growth reaccelerates and distributable earnings cover the dividend with increasing margin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13-14% in Q1 to 7.1% in Q2 2026 suggests the rapid scaling phase may be ending, and at $319B AUM the firm needs increasingly large capital raises to sustain percentage growth rates [1]</w:t>
      </w:r>
    </w:p>
    <w:p>
      <w:pPr>
        <w:spacing w:before="40" w:after="40"/>
        <w:ind w:left="283"/>
      </w:pPr>
      <w:r>
        <w:rPr>
          <w:rFonts w:ascii="Calibri" w:hAnsi="Calibri"/>
          <w:b/>
          <w:color w:val="4A6B25"/>
          <w:sz w:val="20"/>
        </w:rPr>
        <w:t xml:space="preserve">2. </w:t>
      </w:r>
      <w:r>
        <w:rPr>
          <w:rFonts w:ascii="Calibri" w:hAnsi="Calibri"/>
          <w:b w:val="0"/>
          <w:color w:val="3A4A28"/>
          <w:sz w:val="20"/>
        </w:rPr>
        <w:t>Distributable earnings payout ratio of ~105% provides no cushion for the $0.92 annual dividend — any downturn in fee revenue or increase in credit losses would force a dividend cut, which would be devastating for a stock trading primarily on yield [1]</w:t>
      </w:r>
    </w:p>
    <w:p>
      <w:pPr>
        <w:spacing w:before="40" w:after="40"/>
        <w:ind w:left="283"/>
      </w:pPr>
      <w:r>
        <w:rPr>
          <w:rFonts w:ascii="Calibri" w:hAnsi="Calibri"/>
          <w:b/>
          <w:color w:val="4A6B25"/>
          <w:sz w:val="20"/>
        </w:rPr>
        <w:t xml:space="preserve">3. </w:t>
      </w:r>
      <w:r>
        <w:rPr>
          <w:rFonts w:ascii="Calibri" w:hAnsi="Calibri"/>
          <w:b w:val="0"/>
          <w:color w:val="3A4A28"/>
          <w:sz w:val="20"/>
        </w:rPr>
        <w:t>Blue Owl's direct lending portfolio has never been tested through a full credit cycle as a public company — a recession-driven spike in middle-market defaults could impair NAV and reduce fee-related earnings simultaneously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Blue Owl's core business — private credit origination, GP stakes relationship management, and real estate lending — is heavily relationship-driven and requires human judgment in deal sourcing, credit underwriting, and portfolio management that AI cannot easily replicate [2]. The GP Strategic Capital business depends on personal relationships with general partners at other asset managers, creating a trust-based moat. Regulatory complexity in private credit (SEC, banking regulations) adds structural protection. However, AI is beginning to automate elements of credit analysis, loan documentation, and risk assessment that currently require human analysts, and some commoditized lending products could face margin compression from AI-powered competitors. Co-CEO Lipschultz has commented that AI 'could not temper software and technology-linked businesses,' suggesting management sees AI as an opportunity for portfolio companies rather than a threat [2]. AI Opportunity (0/1): Blue Owl does not generate revenue from AI products or services. The firm may use AI internally for portfolio monitoring, but no quantifiable AI revenue or cost savings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Blue Owl Capital Q2 2026 Earnings — Revenue $753.1M (+7.1% YoY), FRE $0.25/share (+9%), DE $0.22/share (+9%), AUM $319B, FRE Margin 58.5%, TradingView, Investing.com, July 2026</w:t>
      </w:r>
    </w:p>
    <w:p>
      <w:pPr>
        <w:spacing w:before="20" w:after="20"/>
        <w:ind w:left="170"/>
      </w:pPr>
      <w:r>
        <w:rPr>
          <w:rFonts w:ascii="Calibri" w:hAnsi="Calibri"/>
          <w:b/>
          <w:color w:val="4A6B25"/>
          <w:sz w:val="15"/>
        </w:rPr>
        <w:t xml:space="preserve">2. </w:t>
      </w:r>
      <w:r>
        <w:rPr>
          <w:rFonts w:ascii="Calibri" w:hAnsi="Calibri"/>
          <w:b w:val="0"/>
          <w:color w:val="3A4A28"/>
          <w:sz w:val="17"/>
        </w:rPr>
        <w:t>Blue Owl Capital Leadership and AI Perspective — Co-CEOs Doug Ostrover and Marc Lipschultz, Founder-Led Structure, AI Commentary — Insider Monkey, Technology Magazine, Simply Wall St, 2025-2026</w:t>
      </w:r>
    </w:p>
    <w:p>
      <w:pPr>
        <w:spacing w:before="20" w:after="20"/>
        <w:ind w:left="170"/>
      </w:pPr>
      <w:r>
        <w:rPr>
          <w:rFonts w:ascii="Calibri" w:hAnsi="Calibri"/>
          <w:b/>
          <w:color w:val="4A6B25"/>
          <w:sz w:val="15"/>
        </w:rPr>
        <w:t xml:space="preserve">3. </w:t>
      </w:r>
      <w:r>
        <w:rPr>
          <w:rFonts w:ascii="Calibri" w:hAnsi="Calibri"/>
          <w:b w:val="0"/>
          <w:color w:val="3A4A28"/>
          <w:sz w:val="17"/>
        </w:rPr>
        <w:t>Blue Owl Capital ESG and Sustainability — UN PRI Signatory, Head of ESG Machal Karim, MSCI ESG Rating, Pensions &amp; Investments, BlueOwl.com,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OWL Key Statistics: Forward P/E 10.90x, PEG 1.01, ROE 5.70%, D/E 75%, Dividend Yield 9.51%, Stock Price ~$9.67,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