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OXLC</w:t>
      </w:r>
      <w:r>
        <w:rPr>
          <w:rFonts w:ascii="Calibri" w:hAnsi="Calibri"/>
          <w:b/>
          <w:color w:val="1A2010"/>
          <w:sz w:val="40"/>
        </w:rPr>
        <w:t xml:space="preserve">  Oxford Lane Capital Corp.</w:t>
      </w:r>
    </w:p>
    <w:p>
      <w:pPr>
        <w:spacing w:after="120"/>
      </w:pPr>
      <w:r>
        <w:rPr>
          <w:rFonts w:ascii="Calibri" w:hAnsi="Calibri"/>
          <w:b/>
          <w:color w:val="6E8450"/>
          <w:sz w:val="18"/>
        </w:rPr>
        <w:t>DIVIDEND SLEEVE · 2026-07-18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Oxford Lane Capital Corp. is a publicly-traded, externally-managed closed-end fund that invests primarily in the debt and equity tranches of collateralized loan obligations (CLOs), which are collateralized by diversified portfolios of below-investment-grade senior secured loans. Managed by Oxford Lane Management, LLC since its 2011 IPO, the fund pays monthly distributions and is led by CEO Jonathan H. Cohen. Headquartered in Greenwich, Connecticut, with no direct employees of its own.</w:t>
      </w:r>
    </w:p>
    <w:p>
      <w:r>
        <w:rPr>
          <w:rFonts w:ascii="Calibri" w:hAnsi="Calibri"/>
          <w:b/>
          <w:color w:val="6E8450"/>
          <w:sz w:val="18"/>
        </w:rPr>
        <w:t>https://www.oxfordlanecapital.com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OXLC's core CLO tranche investment strategy has remained largely unchanged since its 2011 IPO; the only notable recent shift is a 2026 capital-allocation pivot toward retaining cash flow to stabilize NAV rather than maximizing distributions amid CLO market stress [1][2]. AI Deployment (0/2): No evidence of AI-driven portfolio management, cost savings, or product deployment was found. Market Share (1/2): OXLC is one of several public CLO-focused closed-end funds (alongside Eagle Point, Oxford Square) — a meaningful but not dominant participant in the niche CLO retail-investor space. Product Pipeline (0/2): No next-generation products or named initiatives with timelines exist; the fund's mandate is static. R&amp;D Intensity (0/1): Not applicable for a passive investment vehicle.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OXLC's stated objective — to 'maximize risk-adjusted total return' via CLO investment — is standard closed-end-fund boilerplate, interchangeable with dozens of peer funds [3]. Community Impact (0/2): No charitable or community programs were identified. Employee Retention (0/2): The fund is externally managed by Oxford Lane Management LLC (~23 advisory employees) with no direct OXLC workforce or public retention data. Insider Buying (2/2): CEO Jonathan Cohen has made significant open-market purchases — $25M in May 2024 at $5.40/share and a further $15.04M in December 2024 at $5.08/share — a strong signal of personal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sleeve; liquidity floor not triggered: 1,425,757 avg daily volume x $8.77 = ~$12.5M) [5]. NAV per share collapsed from $15.51 (Dec 2025) to $10.56 (Mar 2026) before partially recovering to $11.40-$11.70 by May 2026, driving a deeply negative ROE as core NII fell to $0.29/share from $0.41 a year earlier [1][2]. TTM investment income grew 7.8% but the fund posted a large net loss from unrealized CLO equity depreciation, yielding a negative profit margin. The $2.40 annualized distribution (27% yield) has been erratic — four increases and four decreases over the past three years — and management is now prioritizing NAV stability over distribution growth, leaving consecutive dividend-growth years at 0 despite an elevated 5yr distribution CAGR driven by the post-2022 rate-hike windfall [1][5]. A low D/E (~30%) and a very low forward P/E of 2.11 are typical of leveraged CLO income vehicles and partially offset the weak core NII coverage.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Oxford Lane exists to harvest CLO equity yield for shareholders with no articulated purpose beyond return maximization — a textbook finite-game financial vehicle. The one bright spot is CEO Cohen's large personal stock purchases and the 2026 pivot toward NAV stability, but the fund has never faced or demonstrated the kind of transformative test Sinek looks for.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cause beyond maximizing risk-adjusted total return for shareholders was found in Oxford Lane's public materials — this is a finite, profit-first objective with no larger vision of a future state, typical of a passive structured-credit fund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an externally-managed fund with ~23 advisory staff, no red flags (layoffs, turnover) were identified, but no evidence of exceptional psychological safety or empowerment exists either — an average, thinly-documented organization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framing competitor CLO funds (Eagle Point, Oxford Square) as sources of learning or 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OXLC has pursued the same CLO tranche investment mandate since its 2011 IPO with no evidence of a transformative pivot or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Management's 2026 shift to prioritize 'stable or growing NAV' by retaining cash flow rather than maximizing near-term distributions is a modest example of choosing long-term capital preservation over short-term yield optics, even as it disappoints income-focused shareholders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Oxford Lane offers a 27% distribution yield backed by a $2.84B leveraged CLO equity/debt portfolio, and CEO Jonathan Cohen has personally invested over $40M in open-market share purchases since mid-2024, signaling conviction at depressed prices [1][4]. TTM investment income grew 7.8% to $464M, and management's April-May 2026 NAV rebound to $11.27-$11.70 (from a March low of $10.56) suggests some stabilization in CLO equity valuations after a rough Q4 FY2026 [1][2].</w:t>
      </w:r>
    </w:p>
    <w:p>
      <w:pPr>
        <w:spacing w:after="120"/>
      </w:pPr>
      <w:r>
        <w:rPr>
          <w:rFonts w:ascii="Calibri" w:hAnsi="Calibri"/>
          <w:b w:val="0"/>
          <w:color w:val="3A4A28"/>
          <w:sz w:val="20"/>
        </w:rPr>
        <w:t>The core problem is a widening gap between distributions and earnings power: core NII fell to $0.29/share (from $0.41 a year earlier) against a $0.20 monthly ($2.40 annualized) distribution, implying a payout ratio north of 200% that is being funded by return of capital and NAV erosion rather than income [1]. NAV was cut nearly 30% peak-to-trough within the fiscal year on 210-230bps of CLO yield compression, and OXLC's erratic distribution history (four cuts and four increases in three years) undermines the durability of its headline yield [1][2]. This is a financial-engineering vehicle with no differentiated business model, no innovation pipeline, and no articulated purpose beyond harvesting CLO equity spread — appropriate only for income investors who understand NAV volatility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CLO market stabilization and spread normalization could support the recovering April-May 2026 NAV trend ($10.56 to $11.40-$11.70) and reduce unrealized depreciation drag on earnings</w:t>
      </w:r>
    </w:p>
    <w:p>
      <w:pPr>
        <w:spacing w:before="40" w:after="40"/>
        <w:ind w:left="283"/>
      </w:pPr>
      <w:r>
        <w:rPr>
          <w:rFonts w:ascii="Calibri" w:hAnsi="Calibri"/>
          <w:b/>
          <w:color w:val="4A6B25"/>
          <w:sz w:val="20"/>
        </w:rPr>
        <w:t xml:space="preserve">2. </w:t>
      </w:r>
      <w:r>
        <w:rPr>
          <w:rFonts w:ascii="Calibri" w:hAnsi="Calibri"/>
          <w:b w:val="0"/>
          <w:color w:val="3A4A28"/>
          <w:sz w:val="20"/>
        </w:rPr>
        <w:t>Management's shift toward retaining cash flow for NAV stability, if sustained, could rebuild book value per share after the FY2026 decline from $15.51 to near $11</w:t>
      </w:r>
    </w:p>
    <w:p>
      <w:pPr>
        <w:spacing w:before="40" w:after="40"/>
        <w:ind w:left="283"/>
      </w:pPr>
      <w:r>
        <w:rPr>
          <w:rFonts w:ascii="Calibri" w:hAnsi="Calibri"/>
          <w:b/>
          <w:color w:val="4A6B25"/>
          <w:sz w:val="20"/>
        </w:rPr>
        <w:t xml:space="preserve">3. </w:t>
      </w:r>
      <w:r>
        <w:rPr>
          <w:rFonts w:ascii="Calibri" w:hAnsi="Calibri"/>
          <w:b w:val="0"/>
          <w:color w:val="3A4A28"/>
          <w:sz w:val="20"/>
        </w:rPr>
        <w:t>Continued CEO insider buying (over $40M since mid-2024) could presage further capital return to shareholders if CLO equity yields recover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net investment income of $0.29/share does not cover the $2.40 annualized distribution, implying continued reliance on return of capital and further NAV erosion if CLO yields stay depressed</w:t>
      </w:r>
    </w:p>
    <w:p>
      <w:pPr>
        <w:spacing w:before="40" w:after="40"/>
        <w:ind w:left="283"/>
      </w:pPr>
      <w:r>
        <w:rPr>
          <w:rFonts w:ascii="Calibri" w:hAnsi="Calibri"/>
          <w:b/>
          <w:color w:val="4A6B25"/>
          <w:sz w:val="20"/>
        </w:rPr>
        <w:t xml:space="preserve">2. </w:t>
      </w:r>
      <w:r>
        <w:rPr>
          <w:rFonts w:ascii="Calibri" w:hAnsi="Calibri"/>
          <w:b w:val="0"/>
          <w:color w:val="3A4A28"/>
          <w:sz w:val="20"/>
        </w:rPr>
        <w:t>210-230bps of compression in CLO equity weighted-average yields signals a challenging leveraged-loan credit cycle that could deepen if corporate defaults rise</w:t>
      </w:r>
    </w:p>
    <w:p>
      <w:pPr>
        <w:spacing w:before="40" w:after="40"/>
        <w:ind w:left="283"/>
      </w:pPr>
      <w:r>
        <w:rPr>
          <w:rFonts w:ascii="Calibri" w:hAnsi="Calibri"/>
          <w:b/>
          <w:color w:val="4A6B25"/>
          <w:sz w:val="20"/>
        </w:rPr>
        <w:t xml:space="preserve">3. </w:t>
      </w:r>
      <w:r>
        <w:rPr>
          <w:rFonts w:ascii="Calibri" w:hAnsi="Calibri"/>
          <w:b w:val="0"/>
          <w:color w:val="3A4A28"/>
          <w:sz w:val="20"/>
        </w:rPr>
        <w:t>Erratic distribution history (4 cuts, 4 increases in 3 years) makes the 27% headline yield unreliable as an income-planning input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OXLC's business — acquiring and managing CLO debt/equity tranches backed by diversified senior secured loan pools — is a structured-credit investment activity that AI cannot directly substitute; the fund's returns depend on capital markets access, leverage relationships, and CLO manager selection rather than a product AI could replace [3]. Some underlying portfolio companies within the CLO loan pools face AI disruption risk, but this is once-removed credit exposure, not a direct threat to OXLC's own business model. AI Opportunity (0/1): No AI-related revenue or strategy was identified for the fund itself.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Oxford Lane Capital Q4 FY2026 Earnings Call Transcript —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Oxford Lane Capital May 2026 NAV Estimate and Q1 2026 Portfolio Update — StockTitan / Investing.com, 2026</w:t>
      </w:r>
    </w:p>
    <w:p>
      <w:pPr>
        <w:spacing w:before="20" w:after="20"/>
        <w:ind w:left="170"/>
      </w:pPr>
      <w:r>
        <w:rPr>
          <w:rFonts w:ascii="Calibri" w:hAnsi="Calibri"/>
          <w:b/>
          <w:color w:val="4A6B25"/>
          <w:sz w:val="15"/>
        </w:rPr>
        <w:t xml:space="preserve">3. </w:t>
      </w:r>
      <w:r>
        <w:rPr>
          <w:rFonts w:ascii="Calibri" w:hAnsi="Calibri"/>
          <w:b w:val="0"/>
          <w:color w:val="3A4A28"/>
          <w:sz w:val="17"/>
        </w:rPr>
        <w:t>Oxford Lane Capital Corp. Investor Relations and Corporate Profile — oxfordlanecapital.com,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CEO Jonathan Cohen Insider Stock Purchases — Yahoo Finance / TipRanks / Moomoo,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Oxford Lane Capital (OXLC) Statistics &amp; Dividend History — stockanalysis.com,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