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PACS</w:t>
      </w:r>
      <w:r>
        <w:rPr>
          <w:rFonts w:ascii="Calibri" w:hAnsi="Calibri"/>
          <w:b/>
          <w:color w:val="1A2010"/>
          <w:sz w:val="40"/>
        </w:rPr>
        <w:t xml:space="preserve">  PACS Group, Inc.</w:t>
      </w:r>
    </w:p>
    <w:p>
      <w:pPr>
        <w:spacing w:after="120"/>
      </w:pPr>
      <w:r>
        <w:rPr>
          <w:rFonts w:ascii="Calibri" w:hAnsi="Calibri"/>
          <w:b/>
          <w:color w:val="6E8450"/>
          <w:sz w:val="18"/>
        </w:rPr>
        <w:t>GROWTH SLEEVE · 2026-08-09 · Inspire: 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NYSE · United States</w:t>
      </w:r>
    </w:p>
    <w:p>
      <w:pPr>
        <w:spacing w:after="80"/>
      </w:pPr>
      <w:r>
        <w:rPr>
          <w:rFonts w:ascii="Calibri" w:hAnsi="Calibri"/>
          <w:b w:val="0"/>
          <w:color w:val="3A4A28"/>
          <w:sz w:val="20"/>
        </w:rPr>
        <w:t>PACS Group, Inc. is one of the largest post-acute healthcare platforms in the United States, operating 344 skilled nursing, assisted living, and post-acute care facilities with approximately 32,790 operational beds across 17 states. The company employs a 'facility maturation playbook' that acquires underperforming skilled nursing facilities, implements operational improvements, and increases quality metrics, occupancy, and skilled patient mix. IPO'd in April 2024. Founded in 2013, headquartered in Farmington, Utah.</w:t>
      </w:r>
    </w:p>
    <w:p>
      <w:r>
        <w:rPr>
          <w:rFonts w:ascii="Calibri" w:hAnsi="Calibri"/>
          <w:b/>
          <w:color w:val="6E8450"/>
          <w:sz w:val="18"/>
        </w:rPr>
        <w:t>51,000 Employees · https://www.pacs.com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PACS executed a distinctive facility maturation playbook, growing from approximately 200 to 344 facilities in two years while achieving 90.4% occupancy (vs. 79.5% industry average) and 83.6% of skilled nursing facilities earning 4-5 star CMS Quality Measure ratings [1][3]. The Eduro Healthcare acquisition of 34 facilities (3,633 beds) demonstrates continued strategic execution. However, growth is entirely acquisition-driven rather than product or business model innovation. AI Deployment (0/2): No AI deployment or strategy evident in PACS's operations, clinical care delivery, or facility management processes [2]. Market Share (1/2): PACS is one of the largest SNF operators in the U.S. with 344 facilities across 17 states and 32,790 beds, rapidly gaining share through acquisitions, but faces established competitors including Ensign Group, Sabra Healthcare, and others in a fragmented market [1]. Product Pipeline (0/2): No novel products or services in development; growth strategy is purely acquisition-based with the Eduro deal as the most recent example. R&amp;D Intensity (0/1): As a healthcare services company, PACS has no meaningful R&amp;D spend — growth is driven by operational execution and capital deployment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PACS's purpose of investing in the 'continuum of post-acute care' and improving skilled nursing facility quality is clear and connects to patient outcomes — the 83.6% rate of 4-5 star CMS ratings demonstrates genuine quality improvement [1]. However, the mission is standard for healthcare services companies and lacks distinctive articulation of a broader purpose beyond the industry norm. Community Impact (0/2): While PACS operates 344 facilities serving elderly and rehabilitative care patients across 17 states, the Hindenburg Research report alleging systematic Medicare fraud — 'billing thousands of unnecessary respiratory and sensory integration therapies to Medicare Part B' — and ongoing DOJ investigation severely undermine community impact claims [4][5]. Employee Retention (0/2): Glassdoor reviews (only 6 available) mention that going public 'changed the values of the company' and cite 'unethical business practices' and the federal investigation as concerns [2]. Very limited employee data for a company with ~51,000 employees. Insider Buying (0/2): No evidence of meaningful insider buying. The company has a 2.85% buyback yield, but insider transactions during an active DOJ investigation would be scrutinized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revenue of $1.43B (up 9.1% YoY) and net income of $76.3M (up 49.8% YoY) demonstrate strong operational momentum [1]. ROE of 27.9% significantly exceeds the 15% target, reflecting efficient capital deployment through the facility maturation model. Forward P/E of 18.44 is just under the 20 target, with trailing P/E of 28.32. Full-year 2026 adjusted EBITDA guidance raised to $640-660M, representing ~29% growth over 2025 [1]. Balance sheet shows $164.5M cash, $756.6M available liquidity, and zero drawn on the credit facility [1]. However, total D/E of approximately 305% (including operating lease obligations for 344 facilities) exceeds the 300% floor, scoring 0 on that metric. Profit margin of 4.85% is low, reflecting the labor-intensive nature of skilled nursing operations. Revenue growth 5yr CAGR and PEG ratio unavailable (IPO in April 2024).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PACS Group exhibits finite game characteristics despite strong operational execution. The Hindenburg Research allegations of systematic Medicare fraud and the ongoing DOJ investigation reveal an organization that allegedly optimized for short-term revenue extraction from government healthcare programs. While CEO Jason Murray has publicly acknowledged this as a 'time of crisis' and pledged organizational change, the pattern of behavior described in the allegations — billing unnecessary therapies to maximize reimbursement — is antithetical to infinite game thinking. The company plays to maximize this quarter's revenue, not to build enduring healthcare institutions.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PACS exists to provide post-acute care, and the operational data — 90.4% occupancy, 83.6% 4-5 star quality ratings, improving skilled mix — shows genuine capability in improving facility performance [1]. However, the Hindenburg allegations that PACS 'systematically scammed taxpayer-funded healthcare programs' and that unnecessary billing 'drove more than 100% of operating and net income from 2020-2023' fundamentally undermine any claim that quality patient care is the organizational purpose [5]. The cause exists on paper but the alleged behavior contradicts it.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cite 'unethical business practices' and the company being 'under investigation' as cultural concerns [2]. The DOJ and SEC investigations create an atmosphere of legal uncertainty across the organization that is incompatible with psychological safety. CFO transition (Mark Hancock to Derick Apt) during the investigation period adds to leadership instability. With 51,000 employees across 344 facilities, trust varies significantly, but the corporate-level governance failures signal systemic issues.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PACS's competitive language emphasizes its own superior occupancy (90.4% vs. 79.5% industry average) and quality metrics (83.6% at 4-5 stars) in a way that frames competition as a comparison to be won rather than a relationship for mutual improvement [1][3]. No evidence of management acknowledging competitors' strengths (Ensign Group's culture, Sabra Healthcare's REIT model)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PACS rapidly scaled from its founding in 2013 to a national platform of 344 facilities across 17 states through an aggressive acquisition strategy, IPO'ing in 2024 and raising capital to fuel continued expansion [1]. The facility maturation playbook — acquiring underperforming SNFs and transforming them operationally — represents a strategic model that has evolved over time. However, the company has never faced a true existential pivot; its evolution has been scale expansion within the same business model rather than fundamental reinvention.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DOJ investigation into reimbursement and referral practices, SEC enforcement investigation, and multiple securities class actions represent a governance failure, not courageous leadership [4][5]. CEO Murray's public acknowledgment of the crisis and characterization of PACS as a 'different organization' shows some accountability, but the alleged systematic billing practices occurred under current leadership [4]. Aggressive acquisition strategy during an active investigation (Eduro deal) could be seen as bold or as prioritizing growth over governance resolution.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PACS Group is executing a distinctive facility maturation playbook at scale, delivering Q2 2026 revenue of $1.43B (up 9.1% YoY) and net income of $76.3M (up 49.8% YoY) across 344 facilities with industry-leading occupancy of 90.4% and 83.6% of SNFs earning 4-5 star CMS quality ratings [1]. Full-year 2026 adjusted EBITDA guidance was raised to $640-660M (~29% growth over 2025), and the Eduro acquisition of 34 facilities extends the growth runway [1]. Forward P/E of 18.44 and 52-week stock appreciation of 338% reflect market confidence that the DOJ investigation overhang is manageable. The 'Silver Tsunami' demographic trend drives secular demand for skilled nursing capacity that is structurally undersupplied [3].</w:t>
      </w:r>
    </w:p>
    <w:p>
      <w:pPr>
        <w:spacing w:after="120"/>
      </w:pPr>
      <w:r>
        <w:rPr>
          <w:rFonts w:ascii="Calibri" w:hAnsi="Calibri"/>
          <w:b w:val="0"/>
          <w:color w:val="3A4A28"/>
          <w:sz w:val="20"/>
        </w:rPr>
        <w:t>The bear case centers on unresolved legal and governance risk. The DOJ investigation into reimbursement and referral practices, SEC enforcement investigation, and securities class/derivative actions remain active following Hindenburg Research's November 2024 report alleging PACS 'systematically scammed taxpayer-funded healthcare programs' through unnecessary therapy billing that drove 'more than 100% of operating and net income from 2020-2023' [4][5]. Any adverse finding could result in substantial fines, Medicare exclusion, or mandated operational changes that would fundamentally alter the company's economics. D/E of 305% (including operating leases for 344 facilities) represents meaningful leverage risk, and profit margins of 4.85% leave minimal cushion against regulatory changes, labor cost inflation, or Medicaid reimbursement rate adjustments. GF Score of 19/100 and the Q2 2026 EPS miss ($0.47 vs. $0.53 estimate) suggest execution may be less consistent than headline growth implies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Eduro Healthcare acquisition of 34 facilities (3,633 beds) provides immediate growth runway with PACS's proven facility maturation playbook targeting occupancy and skilled mix improvements</w:t>
      </w:r>
    </w:p>
    <w:p>
      <w:pPr>
        <w:spacing w:before="40" w:after="40"/>
        <w:ind w:left="283"/>
      </w:pPr>
      <w:r>
        <w:rPr>
          <w:rFonts w:ascii="Calibri" w:hAnsi="Calibri"/>
          <w:b/>
          <w:color w:val="4A6B25"/>
          <w:sz w:val="20"/>
        </w:rPr>
        <w:t xml:space="preserve">2. </w:t>
      </w:r>
      <w:r>
        <w:rPr>
          <w:rFonts w:ascii="Calibri" w:hAnsi="Calibri"/>
          <w:b w:val="0"/>
          <w:color w:val="3A4A28"/>
          <w:sz w:val="20"/>
        </w:rPr>
        <w:t>Demographic 'Silver Tsunami' driving secular increase in demand for skilled nursing capacity as the 65+ population grows, supporting continued occupancy gains and reimbursement rate strength</w:t>
      </w:r>
    </w:p>
    <w:p>
      <w:pPr>
        <w:spacing w:before="40" w:after="40"/>
        <w:ind w:left="283"/>
      </w:pPr>
      <w:r>
        <w:rPr>
          <w:rFonts w:ascii="Calibri" w:hAnsi="Calibri"/>
          <w:b/>
          <w:color w:val="4A6B25"/>
          <w:sz w:val="20"/>
        </w:rPr>
        <w:t xml:space="preserve">3. </w:t>
      </w:r>
      <w:r>
        <w:rPr>
          <w:rFonts w:ascii="Calibri" w:hAnsi="Calibri"/>
          <w:b w:val="0"/>
          <w:color w:val="3A4A28"/>
          <w:sz w:val="20"/>
        </w:rPr>
        <w:t>Resolution of DOJ investigation with manageable outcome would remove the primary valuation overhang and restore investor confidence in the company's governance and long-term sustainability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Ongoing DOJ investigation into reimbursement and referral practices, SEC enforcement investigation, and securities class actions could result in substantial financial penalties, Medicare exclusion, or mandated operational changes that fundamentally alter the business model</w:t>
      </w:r>
    </w:p>
    <w:p>
      <w:pPr>
        <w:spacing w:before="40" w:after="40"/>
        <w:ind w:left="283"/>
      </w:pPr>
      <w:r>
        <w:rPr>
          <w:rFonts w:ascii="Calibri" w:hAnsi="Calibri"/>
          <w:b/>
          <w:color w:val="4A6B25"/>
          <w:sz w:val="20"/>
        </w:rPr>
        <w:t xml:space="preserve">2. </w:t>
      </w:r>
      <w:r>
        <w:rPr>
          <w:rFonts w:ascii="Calibri" w:hAnsi="Calibri"/>
          <w:b w:val="0"/>
          <w:color w:val="3A4A28"/>
          <w:sz w:val="20"/>
        </w:rPr>
        <w:t>Total D/E of 305% (including operating lease obligations for 344 facilities) and 4.85% profit margin leave minimal financial cushion against labor cost inflation, reimbursement rate cuts, or economic downturn-driven occupancy declines</w:t>
      </w:r>
    </w:p>
    <w:p>
      <w:pPr>
        <w:spacing w:before="40" w:after="40"/>
        <w:ind w:left="283"/>
      </w:pPr>
      <w:r>
        <w:rPr>
          <w:rFonts w:ascii="Calibri" w:hAnsi="Calibri"/>
          <w:b/>
          <w:color w:val="4A6B25"/>
          <w:sz w:val="20"/>
        </w:rPr>
        <w:t xml:space="preserve">3. </w:t>
      </w:r>
      <w:r>
        <w:rPr>
          <w:rFonts w:ascii="Calibri" w:hAnsi="Calibri"/>
          <w:b w:val="0"/>
          <w:color w:val="3A4A28"/>
          <w:sz w:val="20"/>
        </w:rPr>
        <w:t>Hindenburg Research allegations that unnecessary billing drove 'more than 100% of operating and net income from 2020-2023' — if substantiated, historical financial performance was materially inflated and current run-rates may not be sustainable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 IMMUNE): PACS's core business of operating skilled nursing and post-acute care facilities involves physical, hands-on patient care that is structurally immune to AI displacement. Nursing care, rehabilitation therapy, patient monitoring, and facility management require human physical presence and clinical judgment that AI cannot substitute [1]. The healthcare services industry is also heavily regulated by CMS quality standards, state licensing requirements, and Medicare/Medicaid compliance frameworks that create structural barriers to AI disruption. The aging U.S. population ('Silver Tsunami') creates a secular demand tailwind independent of technology trends [3]. AI may eventually assist with administrative tasks and documentation, but the core care delivery model cannot be automated. AI Opportunity (0/1): No evidence of AI-derived revenue or meaningful AI deployment in clinical operations, facility management, or care coordination. The company's growth model relies on operational playbooks and human capital, not technology differentiation.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8</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PACS Group Q2 2026 Earnings Release and Investor Presentation — ir.pacs.com, August 4, 2026</w:t>
      </w:r>
    </w:p>
    <w:p>
      <w:pPr>
        <w:spacing w:before="20" w:after="20"/>
        <w:ind w:left="170"/>
      </w:pPr>
      <w:r>
        <w:rPr>
          <w:rFonts w:ascii="Calibri" w:hAnsi="Calibri"/>
          <w:b/>
          <w:color w:val="4A6B25"/>
          <w:sz w:val="15"/>
        </w:rPr>
        <w:t xml:space="preserve">2. </w:t>
      </w:r>
      <w:r>
        <w:rPr>
          <w:rFonts w:ascii="Calibri" w:hAnsi="Calibri"/>
          <w:b w:val="0"/>
          <w:color w:val="3A4A28"/>
          <w:sz w:val="17"/>
        </w:rPr>
        <w:t>PACS Group Leadership Transitions and Glassdoor Reviews,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Skilled Nursing News — 'PACS Strong 1Q Backed by Silver Tsunami', May 2026</w:t>
      </w:r>
    </w:p>
    <w:p>
      <w:pPr>
        <w:spacing w:before="20" w:after="20"/>
        <w:ind w:left="170"/>
      </w:pPr>
      <w:r>
        <w:rPr>
          <w:rFonts w:ascii="Calibri" w:hAnsi="Calibri"/>
          <w:b/>
          <w:color w:val="4A6B25"/>
          <w:sz w:val="15"/>
        </w:rPr>
        <w:t xml:space="preserve">4. </w:t>
      </w:r>
      <w:r>
        <w:rPr>
          <w:rFonts w:ascii="Calibri" w:hAnsi="Calibri"/>
          <w:b w:val="0"/>
          <w:color w:val="3A4A28"/>
          <w:sz w:val="17"/>
        </w:rPr>
        <w:t>Skilled Nursing News — 'PACS CEO on Emerging Stronger from Federal Investigation', March 2026</w:t>
      </w:r>
    </w:p>
    <w:p>
      <w:pPr>
        <w:spacing w:before="20" w:after="20"/>
        <w:ind w:left="170"/>
      </w:pPr>
      <w:r>
        <w:rPr>
          <w:rFonts w:ascii="Calibri" w:hAnsi="Calibri"/>
          <w:b/>
          <w:color w:val="4A6B25"/>
          <w:sz w:val="15"/>
        </w:rPr>
        <w:t xml:space="preserve">5. </w:t>
      </w:r>
      <w:r>
        <w:rPr>
          <w:rFonts w:ascii="Calibri" w:hAnsi="Calibri"/>
          <w:b w:val="0"/>
          <w:color w:val="3A4A28"/>
          <w:sz w:val="17"/>
        </w:rPr>
        <w:t>Hindenburg Research — 'PACS Group: How To Become A Billionaire By Systematically Scamming Taxpayers', November 2024</w:t>
      </w:r>
    </w:p>
    <w:p>
      <w:pPr>
        <w:spacing w:before="20" w:after="20"/>
        <w:ind w:left="170"/>
      </w:pPr>
      <w:r>
        <w:rPr>
          <w:rFonts w:ascii="Calibri" w:hAnsi="Calibri"/>
          <w:b/>
          <w:color w:val="4A6B25"/>
          <w:sz w:val="15"/>
        </w:rPr>
        <w:t xml:space="preserve">6. </w:t>
      </w:r>
      <w:r>
        <w:rPr>
          <w:rFonts w:ascii="Calibri" w:hAnsi="Calibri"/>
          <w:b w:val="0"/>
          <w:color w:val="3A4A28"/>
          <w:sz w:val="17"/>
        </w:rPr>
        <w:t>StockAnalysis.com — PACS Key Statistics and Valuation,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