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PAGP</w:t>
      </w:r>
      <w:r>
        <w:rPr>
          <w:rFonts w:ascii="Calibri" w:hAnsi="Calibri"/>
          <w:b/>
          <w:color w:val="1A2010"/>
          <w:sz w:val="40"/>
        </w:rPr>
        <w:t xml:space="preserve">  Plains GP Holdings, L.P.</w:t>
      </w:r>
    </w:p>
    <w:p>
      <w:pPr>
        <w:spacing w:after="120"/>
      </w:pPr>
      <w:r>
        <w:rPr>
          <w:rFonts w:ascii="Calibri" w:hAnsi="Calibri"/>
          <w:b/>
          <w:color w:val="6E8450"/>
          <w:sz w:val="18"/>
        </w:rPr>
        <w:t>DIVIDEND SLEEVE · 2026-07-18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United States</w:t>
      </w:r>
    </w:p>
    <w:p>
      <w:pPr>
        <w:spacing w:after="80"/>
      </w:pPr>
      <w:r>
        <w:rPr>
          <w:rFonts w:ascii="Calibri" w:hAnsi="Calibri"/>
          <w:b w:val="0"/>
          <w:color w:val="3A4A28"/>
          <w:sz w:val="20"/>
        </w:rPr>
        <w:t>Plains GP Holdings, L.P. is the publicly-traded parent holding company for Plains All American Pipeline, L.P. (PAA), one of the largest crude oil and natural gas liquids (NGL) midstream logistics operators in North America, with gathering, pipeline, storage, and terminalling assets concentrated in the Permian Basin. Led by Chairman &amp; CEO Willie Chiang since October 2018, the company operates through Crude Oil and NGL segments and is headquartered in Houston, Texas.</w:t>
      </w:r>
    </w:p>
    <w:p>
      <w:r>
        <w:rPr>
          <w:rFonts w:ascii="Calibri" w:hAnsi="Calibri"/>
          <w:b/>
          <w:color w:val="6E8450"/>
          <w:sz w:val="18"/>
        </w:rPr>
        <w:t>4,200 Employees · https://www.plains.com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PAA has been actively optimizing its portfolio rather than transforming its business model — divesting non-core Canadian NGL assets and reallocating capital toward crude and NGL segment optimization, which contributed to a $130M increase in FY2026 Adjusted EBITDA guidance [1][2]. AI Deployment (0/2): No evidence of AI-driven products or quantified efficiency savings was identified. Market Share (1/2): PAA operates one of the largest crude oil gathering, transportation, and storage networks in the Permian Basin with roughly 18,000 miles of pipeline, but no fresh quantified share-gain data was found in this research cycle. Product Pipeline (0/2): No specific next-generation infrastructure projects with named timelines were identified in available sources. R&amp;D Intensity (0/1): Not a meaningful spending category for a midstream pipeline operator; no data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Plains' 'Do the Right Thing' motto and stated values (Safety &amp; Environmental Stewardship, Ethics &amp; Integrity, Ownership &amp; Accountability, Teamwork) are generic industrial safety language that rings hollow against the company's actual environmental record [3]. Community Impact (0/2): PAA was found guilty in 2018 of one felony and eight misdemeanor counts of criminal negligence for the May 2015 Refugio Beach spill near Santa Barbara, in which ~2,934 barrels of crude leaked from corroded Line 901; the company paid a $72.5M settlement (penalties, natural resource damages, and cleanup costs) to California regulators on top of a separate $230M class-action settlement to fishers and shoreline property owners, plus a 2010 EPA settlement ($3.25M penalty, $41M in mandated pipeline upgrades) for 10 earlier spills [6]. Employee Retention (1/2): The leadership team carries an average tenure of 7.4 years and CEO Chiang has led since 2018 (post-dating the 2015 incident), indicating above-average executive stability for the sector, though no company-wide turnover data was found [3]. Insider Buying (0/2): The board extended CEO Chiang's equity award vesting to 2030 to align pay with long-term performance, but this is a retention grant rather than an open-market purchase, so no net insider buying evidence was found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sleeve; liquidity floor not triggered: 1,148,622 avg daily volume x $25.61 = ~$29.4M) [5]. PAGP raised FY2026 Adjusted EBITDA guidance to $2.88B (+/-$75M) and Adjusted Free Cash Flow guidance to ~$1.85B on Permian crude and NGL segment outperformance [1][2]. However, GAAP profitability remains thin — TTM net income of $196M on $45.26B revenue yields a 0.43% profit margin, and ROE of 9.08% sits below the 15% target [5]. The distribution yield of 6.52% is covered at a stretched ~165% payout ratio against GAAP earnings (though comfortably covered on the distributable-cash-flow basis management targets), reflecting the historically high-payout MLP-style capital structure. D/E of ~83% is modestly above the 70% target, and 5-year distribution growth of 18.33% reflects a strong rebound off the 2020 COVID-era cut rather than uninterrupted compounding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Plains presents genuine leadership stability under CEO Chiang since 2018 and modest portfolio flexibility, but the company's felony conviction for criminal negligence in the 2015 Refugio Beach spill — a failure to invest in basic pipeline maintenance that led to $300M+ in cumulative settlements — is the opposite of Sinek's Courage to Lead, and no evidence of a purpose beyond profitable hydrocarbon transport was found.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Plains' 'Do the Right Thing' safety motto is directly contradicted by its own criminal record — a 2018 jury found the company guilty of one felony and eight misdemeanors for knowingly allowing Line 901 to corrode until it ruptured near Refugio Beach in 2015 [6]. There is no evidence of a resilient, service-oriented vision beyond transporting crude profitably; the stated values read as compliance boilerplate rather than a lived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Average leadership tenure of 7.4 years and CEO Chiang's continuous tenure since 2018 (after the 2015 incident) signal current organizational stability, though no specific employee turnover or psychological-safety data was found to support a top-tier score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was found framing competitor pipeline operators (Enterprise Products, Energy Transfer, MPLX) as sources of learning; available guidance language focuses on internal segment optimization rather than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Plains has incrementally reshaped its portfolio — divesting non-core Canadian NGL assets and reallocating capital toward Permian crude optimization — but this is portfolio tuning, not a transformative reinvention of the business model, and the company has not diversified beyond fossil-fuel transport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2018 felony conviction for the Refugio Beach spill establishes that leadership allowed a known corrosion risk on Line 901 to go unaddressed rather than investing in maintenance — the opposite of sacrificing near-term cost savings for long-term integrity [6]. The 2020 distribution cut was a defensive balance-sheet response to the COVID oil-price collapse, not a proactive principled stance.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Plains GP Holdings offers exposure to one of the largest Permian Basin crude oil and NGL midstream franchises, with Q1 2026 revenue of $12.47B and a raised FY2026 Adjusted EBITDA guidance midpoint of $2.88B (+$130M), driven by $70M of NGL segment outperformance and $60M of crude segment optimization including tariff escalators and higher West Coast volumes [1][2]. The 6.52% distribution yield is supported by ~$1.85B of guided Adjusted Free Cash Flow, and five consecutive years of distribution growth (18.33% 5yr CAGR) reflect a successful rebuild since the 2020 COVID-era cut [1][5].</w:t>
      </w:r>
    </w:p>
    <w:p>
      <w:pPr>
        <w:spacing w:after="120"/>
      </w:pPr>
      <w:r>
        <w:rPr>
          <w:rFonts w:ascii="Calibri" w:hAnsi="Calibri"/>
          <w:b w:val="0"/>
          <w:color w:val="3A4A28"/>
          <w:sz w:val="20"/>
        </w:rPr>
        <w:t>The bear case centers on thin GAAP profitability (0.43% margin, 9.08% ROE) and elevated leverage (83% D/E) that leave less cushion than the cash-flow-based metrics suggest, plus a 9.46% FY2025 revenue decline driven by lower commodity prices flowing through the pass-through crude marketing business [5]. Legacy environmental liability remains a defining risk: the company's 2018 felony conviction for the 2015 Refugio Beach spill (Line 901 corrosion failure) generated a $72.5M California settlement plus a separate $230M class-action settlement to fishers and shoreline residents, on top of a 2010 EPA settlement covering 10 earlier spills — a reminder of the tail risk inherent in an 18,000-mile physical pipeline network operated with a documented history of deferred maintenance [6]. As a GP holding company with a complex Up-C structure, PAGP shareholders also bear structural complexity relative to direct ownership of the underlying PAA units.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Adjusted EBITDA guidance raised to $2.88B midpoint on continued NGL segment outperformance and crude segment tariff escalators, with potential for further upside from West Coast volume growth</w:t>
      </w:r>
    </w:p>
    <w:p>
      <w:pPr>
        <w:spacing w:before="40" w:after="40"/>
        <w:ind w:left="283"/>
      </w:pPr>
      <w:r>
        <w:rPr>
          <w:rFonts w:ascii="Calibri" w:hAnsi="Calibri"/>
          <w:b/>
          <w:color w:val="4A6B25"/>
          <w:sz w:val="20"/>
        </w:rPr>
        <w:t xml:space="preserve">2. </w:t>
      </w:r>
      <w:r>
        <w:rPr>
          <w:rFonts w:ascii="Calibri" w:hAnsi="Calibri"/>
          <w:b w:val="0"/>
          <w:color w:val="3A4A28"/>
          <w:sz w:val="20"/>
        </w:rPr>
        <w:t>Continued Permian Basin production growth increasing throughput on PAA's core crude gathering and transportation network</w:t>
      </w:r>
    </w:p>
    <w:p>
      <w:pPr>
        <w:spacing w:before="40" w:after="40"/>
        <w:ind w:left="283"/>
      </w:pPr>
      <w:r>
        <w:rPr>
          <w:rFonts w:ascii="Calibri" w:hAnsi="Calibri"/>
          <w:b/>
          <w:color w:val="4A6B25"/>
          <w:sz w:val="20"/>
        </w:rPr>
        <w:t xml:space="preserve">3. </w:t>
      </w:r>
      <w:r>
        <w:rPr>
          <w:rFonts w:ascii="Calibri" w:hAnsi="Calibri"/>
          <w:b w:val="0"/>
          <w:color w:val="3A4A28"/>
          <w:sz w:val="20"/>
        </w:rPr>
        <w:t>Sustained distribution growth (18.33% 5yr CAGR) as the company continues rebuilding payout levels from the 2020 cut, supported by ~$1.85B of guided free cash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GAAP profitability (0.43% margin) and 83% debt-to-equity leave limited financial cushion if commodity prices or Permian production growth disappoint</w:t>
      </w:r>
    </w:p>
    <w:p>
      <w:pPr>
        <w:spacing w:before="40" w:after="40"/>
        <w:ind w:left="283"/>
      </w:pPr>
      <w:r>
        <w:rPr>
          <w:rFonts w:ascii="Calibri" w:hAnsi="Calibri"/>
          <w:b/>
          <w:color w:val="4A6B25"/>
          <w:sz w:val="20"/>
        </w:rPr>
        <w:t xml:space="preserve">2. </w:t>
      </w:r>
      <w:r>
        <w:rPr>
          <w:rFonts w:ascii="Calibri" w:hAnsi="Calibri"/>
          <w:b w:val="0"/>
          <w:color w:val="3A4A28"/>
          <w:sz w:val="20"/>
        </w:rPr>
        <w:t>A documented history of deferred pipeline maintenance culminating in a 2018 felony conviction and $300M+ in cumulative spill-related settlements illustrates ongoing environmental, regulatory, and reputational tail risk inherent in operating an 18,000+ mile physical network</w:t>
      </w:r>
    </w:p>
    <w:p>
      <w:pPr>
        <w:spacing w:before="40" w:after="40"/>
        <w:ind w:left="283"/>
      </w:pPr>
      <w:r>
        <w:rPr>
          <w:rFonts w:ascii="Calibri" w:hAnsi="Calibri"/>
          <w:b/>
          <w:color w:val="4A6B25"/>
          <w:sz w:val="20"/>
        </w:rPr>
        <w:t xml:space="preserve">3. </w:t>
      </w:r>
      <w:r>
        <w:rPr>
          <w:rFonts w:ascii="Calibri" w:hAnsi="Calibri"/>
          <w:b w:val="0"/>
          <w:color w:val="3A4A28"/>
          <w:sz w:val="20"/>
        </w:rPr>
        <w:t>9.46% revenue decline in FY2025 highlights sensitivity to crude oil price cycles flowing through the marketing and logistics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PAA's business is the physical gathering, transportation, and storage of crude oil and NGLs across ~18,000 miles of pipeline and associated terminal/storage infrastructure — a capital-intensive, regulated, physical-world operation that AI cannot substitute or disintermediate; if anything, AI-driven data center power demand growth increases downstream energy volumes flowing through midstream infrastructure [1]. No analyst commentary identified any AI substitution risk to PAA's core tariff-based transportation model. AI Opportunity (0/1): No AI-related revenue stream was identified; this is a traditional infrastructure operator, not an AI beneficiary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Plains GP Holdings Q1 2026 8-K Earnings Release — SEC, May 2026</w:t>
      </w:r>
    </w:p>
    <w:p>
      <w:pPr>
        <w:spacing w:before="20" w:after="20"/>
        <w:ind w:left="170"/>
      </w:pPr>
      <w:r>
        <w:rPr>
          <w:rFonts w:ascii="Calibri" w:hAnsi="Calibri"/>
          <w:b/>
          <w:color w:val="4A6B25"/>
          <w:sz w:val="15"/>
        </w:rPr>
        <w:t xml:space="preserve">2. </w:t>
      </w:r>
      <w:r>
        <w:rPr>
          <w:rFonts w:ascii="Calibri" w:hAnsi="Calibri"/>
          <w:b w:val="0"/>
          <w:color w:val="3A4A28"/>
          <w:sz w:val="17"/>
        </w:rPr>
        <w:t>Plains GP Holdings/Plains All American FY2026 Guidance Raise — SEC 8-K, February-May 2026</w:t>
      </w:r>
    </w:p>
    <w:p>
      <w:pPr>
        <w:spacing w:before="20" w:after="20"/>
        <w:ind w:left="170"/>
      </w:pPr>
      <w:r>
        <w:rPr>
          <w:rFonts w:ascii="Calibri" w:hAnsi="Calibri"/>
          <w:b/>
          <w:color w:val="4A6B25"/>
          <w:sz w:val="15"/>
        </w:rPr>
        <w:t xml:space="preserve">3. </w:t>
      </w:r>
      <w:r>
        <w:rPr>
          <w:rFonts w:ascii="Calibri" w:hAnsi="Calibri"/>
          <w:b w:val="0"/>
          <w:color w:val="3A4A28"/>
          <w:sz w:val="17"/>
        </w:rPr>
        <w:t>Plains All American Pipeline Corporate Values and Culture — plains.com / Comparably,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Plains All American CEO Willie Chiang Equity Award Extension — ainvest.com, August 2025</w:t>
      </w:r>
    </w:p>
    <w:p>
      <w:pPr>
        <w:spacing w:before="20" w:after="20"/>
        <w:ind w:left="170"/>
      </w:pPr>
      <w:r>
        <w:rPr>
          <w:rFonts w:ascii="Calibri" w:hAnsi="Calibri"/>
          <w:b/>
          <w:color w:val="4A6B25"/>
          <w:sz w:val="15"/>
        </w:rPr>
        <w:t xml:space="preserve">5. </w:t>
      </w:r>
      <w:r>
        <w:rPr>
          <w:rFonts w:ascii="Calibri" w:hAnsi="Calibri"/>
          <w:b w:val="0"/>
          <w:color w:val="3A4A28"/>
          <w:sz w:val="17"/>
        </w:rPr>
        <w:t>Plains GP Holdings (PAGP) Statistics &amp; Dividend History — stockanalysis.com,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Refugio Beach / Line 901 Oil Spill Felony Conviction and Settlements — California State Lands Commission, U.S. DOJ, Noozhawk, Lieff Cabraser, 2018-2025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