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PBA</w:t>
      </w:r>
      <w:r>
        <w:rPr>
          <w:rFonts w:ascii="Calibri" w:hAnsi="Calibri"/>
          <w:b/>
          <w:color w:val="1A2010"/>
          <w:sz w:val="40"/>
        </w:rPr>
        <w:t xml:space="preserve">  Pembina Pipeline Corporation</w:t>
      </w:r>
    </w:p>
    <w:p>
      <w:pPr>
        <w:spacing w:after="120"/>
      </w:pPr>
      <w:r>
        <w:rPr>
          <w:rFonts w:ascii="Calibri" w:hAnsi="Calibri"/>
          <w:b/>
          <w:color w:val="6E8450"/>
          <w:sz w:val="18"/>
        </w:rPr>
        <w:t>DIVIDEND SLEEVE · 2026-07-28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Pembina Pipeline provides energy transportation and midstream services across North America. It operates through Pipelines (3.0M boe/day transport capacity), Facilities (430K bbl/day NGL fractionation, 21M bbl cavern storage), and Marketing &amp; New Ventures segments. Founded in 1954 and headquartered in Calgary, Alberta. CEO Scott Burrows leads the ~3,000-person organization.</w:t>
      </w:r>
    </w:p>
    <w:p>
      <w:r>
        <w:rPr>
          <w:rFonts w:ascii="Calibri" w:hAnsi="Calibri"/>
          <w:b/>
          <w:color w:val="6E8450"/>
          <w:sz w:val="18"/>
        </w:rPr>
        <w:t>2,974 Employees · https://www.pembina.com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Pembina has executed incremental capacity expansions and advanced the Cedar LNG project but has not launched transformative new products or business model pivots in the last five years [1]. The Greenlight Electricity Center LP joint venture for AI data center power (up to 1,800 MW) is a notable early-stage adjacency that positions the company for AI-driven energy demand growth [2]. AI Deployment (0/2): No evidence of AI-powered products or quantified AI-driven cost savings. Pembina operates physical infrastructure where AI adoption lags other sectors; the 40-F filing acknowledges AI as a risk factor rather than a revenue driver [2]. Market Share (2/2): Pembina is the dominant midstream operator in the Western Canadian Sedimentary Basin with 3.0M boe/day transportation capacity and record annual throughput volumes in 2025 [1]. Pipeline infrastructure creates natural monopoly positions that are structurally defensible. Product Pipeline (2/2): Q1 2026 earnings beat prompted management to raise FY2026 adjusted EBITDA guidance to C$4.35B-C$4.55B (up C$175M at midpoint), supported by stronger marketing contributions and wider frac spreads [1]. Greenlight 450 MW first phase under development and Cedar LNG advancing toward FID provide specific next-gen revenue visibility with 5-7% annual fee-based EBITDA per share CAGR guidance through 2030 [1][2]. R&amp;D Intensity (0/1): Pipeline companies do not maintain traditional R&amp;D operations; capital is deployed into infrastructure expansion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Pembina's stated purpose of being 'the pipeline company people want to be part of' and delivering results for stakeholders is clear and functional but not distinctive or transformative for the energy infrastructure sector [3]. The company articulates no vision of a future state beyond operational excellence and stakeholder returns. Community Impact (1/2): Pembina has set meaningful ESG targets including 30% GHG emissions intensity reduction by 2030, maintains a safety record 30%+ better than the industry average, and publishes comprehensive sustainability reporting following SASB, GRI, and TCFD frameworks [4]. Community investment programs exist but specific charitable dollar amounts were not prominently disclosed. Employee Retention (1/2): Glassdoor rating of 3.6/5 with 240 reviews shows mixed sentiment — employees praise good pay, benefits, and professional development, but cite concerns about nepotism, office politics, and poor communication at senior levels [2]. Adequate for the energy sector but not exceptional. Insider Buying (0/2): CEO Scott Burrows has been in role since November 2021 with equity exposure through compensation, but no evidence of meaningful net open-market insider purchases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adjusted EBITDA of C$1,131M and EPS of $0.59, beating consensus of $0.52 by 13.5%, prompting management to raise full-year EBITDA guidance to C$4.35B-C$4.55B [1]. Forward P/E of ~18x is attractive for stable fee-based cash flows, and the 21.8% profit margin reflects efficient operations for a capital-intensive midstream business. D/E of 78% is reasonable for a pipeline company with long-lived assets and contracted cash flows. ROE of 10.9% is below the 15% target, reflecting the asset-heavy business model typical of midstream infrastructure [5]. The 4.49% dividend yield is supported by fee-based EBITDA, though the trailing GAAP payout ratio of ~100% is at the floor. Pembina raised its quarterly dividend in Q1 2026, extending the consecutive growth streak to 4 years with a 5-year CAGR of ~5.7% (CAD). Liquidity easily clears: ~1.53M avg vol × $44.27 = $67.7M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Pembina demonstrates mixed infinite game characteristics. The 70-year operating history since 1954, fee-based business model oriented toward long-term infrastructure, and deliberate positioning for AI-driven energy demand show enduring strategic thinking. However, the company's articulated purpose remains functional rather than transformative, leadership transitions and Glassdoor concerns signal trust limitations, and the high payout ratio prioritizes near-term income over transformative long-term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Pembina's purpose of being 'the pipeline company people want to be part of' is functional but lacks the aspirational, future-oriented quality Sinek demands [3]. The company exists to transport hydrocarbons efficiently — a necessary function but not a vision of a better future that inspires sacrifice. The 30% GHG reduction target adds environmental dimension but doesn't fundamentally change the purpose. Strategic decisions appear driven by commercial opportunity and stakeholder returns rather than an overarching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3.6/5 rating with 240 reviews indicates an adequately trusting but imperfect environment [2]. Employees praise good pay, benefits, and teammates, but multiple reviews cite nepotism, cronyism, office politics, and poor communication as significant cultural weaknesses. The ~3,000-person workforce maintains stable operations with a safety record 30%+ better than industry average, suggesting operational discipline exists even if political dynamics create pockets of low trust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Pembina operates alongside Enbridge, TC Energy, and Inter Pipeline in the WCSB and has demonstrated willingness to learn from competitors' approaches to ESG integration, data center power opportunities, and digital transformation [2][4]. The Greenlight Electricity Center venture mirrors competitive moves by Enbridge and TC Energy into power generation, reflecting awareness of rivals' strategies as signals for self-improvement rather than a zero-sum competitive frame.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Pembina has incrementally diversified from pure pipelines into fractionation, storage, NGL exports, and now AI data center power generation through the Greenlight joint venture targeting 1,800 MW [1][2]. The Q1 2026 EBITDA guidance raise was driven partly by the marketing business, showing the diversification is generating results. However, these moves are adjacent expansions rather than transformative reinvention — the company has not fundamentally disrupted its own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Pembina raised its quarterly dividend and increased EBITDA guidance despite a 3.4% revenue decline, showing confidence in the business model's durability [1]. The 5-7% fee-based EBITDA per share CAGR guidance through 2030, Cedar LNG investment, and Greenlight data center partnership demonstrate willingness to make long-term capital commitments. However, the ~100% GAAP payout ratio and focus on dividend stability suggest a bias toward near-term shareholder returns over transformative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Pembina Pipeline delivered a strong Q1 2026 with adjusted EBITDA of C$1,131M and EPS of $0.59 beating consensus by 13.5%, prompting management to raise FY2026 EBITDA guidance to C$4.35B-C$4.55B (up C$175M at midpoint) driven by stronger marketing contributions and wider frac spreads [1]. The 4.49% dividend yield with 5-7% annual EBITDA per share growth guidance through 2030 provides attractive total return potential. The Greenlight Electricity Center (up to 1,800 MW) positions Pembina to capture AI-driven electricity demand growth — a structural tailwind unique to midstream energy — while the dominant WCSB infrastructure with 3.0M boe/day capacity and record 2025 throughput volumes confirm the durability of Canadian energy production [1][2]. Forward P/E of ~18x is reasonable for contracted, fee-based cash flows.</w:t>
      </w:r>
    </w:p>
    <w:p>
      <w:pPr>
        <w:spacing w:after="120"/>
      </w:pPr>
      <w:r>
        <w:rPr>
          <w:rFonts w:ascii="Calibri" w:hAnsi="Calibri"/>
          <w:b w:val="0"/>
          <w:color w:val="3A4A28"/>
          <w:sz w:val="20"/>
        </w:rPr>
        <w:t>The bear case centers on the elevated GAAP payout ratio, modest revenue growth, and energy transition risk. The trailing GAAP payout ratio of ~100% raises sustainability questions, though management points to distributable cash flow coverage that exceeds reported earnings due to non-cash depreciation charges [5]. Q1 2026 revenue declined 3.4% YoY to $1.535B despite the EBITDA guidance raise, and 5-year revenue CAGR of ~5.6% is modest for a company with this leverage profile (C$9.97B total debt against C$124M cash) [5]. The 3.0% 5-year dividend growth CAGR in USD terms barely keeps pace with inflation, limiting real income growth. Long-term energy transition away from fossil fuels poses structural demand risk to pipeline volumes, and Glassdoor reviews citing nepotism, office politics, and poor communication signal cultural challenges that could affect execution as the company pursues new growth initiatives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EBITDA guidance to C$4.35B-C$4.55B (up C$175M at midpoint) driven by stronger marketing and wider frac spreads, with Q1 EPS beating consensus by 13.5% [1]</w:t>
      </w:r>
    </w:p>
    <w:p>
      <w:pPr>
        <w:spacing w:before="40" w:after="40"/>
        <w:ind w:left="283"/>
      </w:pPr>
      <w:r>
        <w:rPr>
          <w:rFonts w:ascii="Calibri" w:hAnsi="Calibri"/>
          <w:b/>
          <w:color w:val="4A6B25"/>
          <w:sz w:val="20"/>
        </w:rPr>
        <w:t xml:space="preserve">2. </w:t>
      </w:r>
      <w:r>
        <w:rPr>
          <w:rFonts w:ascii="Calibri" w:hAnsi="Calibri"/>
          <w:b w:val="0"/>
          <w:color w:val="3A4A28"/>
          <w:sz w:val="20"/>
        </w:rPr>
        <w:t>Greenlight Electricity Center LP targeting 1,800 MW of natural gas-fired power for AI data centers, with first 450 MW phase under development — a unique growth vector for midstream companies [2]</w:t>
      </w:r>
    </w:p>
    <w:p>
      <w:pPr>
        <w:spacing w:before="40" w:after="40"/>
        <w:ind w:left="283"/>
      </w:pPr>
      <w:r>
        <w:rPr>
          <w:rFonts w:ascii="Calibri" w:hAnsi="Calibri"/>
          <w:b/>
          <w:color w:val="4A6B25"/>
          <w:sz w:val="20"/>
        </w:rPr>
        <w:t xml:space="preserve">3. </w:t>
      </w:r>
      <w:r>
        <w:rPr>
          <w:rFonts w:ascii="Calibri" w:hAnsi="Calibri"/>
          <w:b w:val="0"/>
          <w:color w:val="3A4A28"/>
          <w:sz w:val="20"/>
        </w:rPr>
        <w:t>5-7% annual fee-based EBITDA per share CAGR guidance through 2030 supported by Cedar LNG advancement, capacity expansion, and record WCSB throughput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GAAP payout ratio of ~100% creates dividend sustainability risk if fee-based cash flows weaken or capital requirements increase beyond current C$1.1B annual investment levels [5]</w:t>
      </w:r>
    </w:p>
    <w:p>
      <w:pPr>
        <w:spacing w:before="40" w:after="40"/>
        <w:ind w:left="283"/>
      </w:pPr>
      <w:r>
        <w:rPr>
          <w:rFonts w:ascii="Calibri" w:hAnsi="Calibri"/>
          <w:b/>
          <w:color w:val="4A6B25"/>
          <w:sz w:val="20"/>
        </w:rPr>
        <w:t xml:space="preserve">2. </w:t>
      </w:r>
      <w:r>
        <w:rPr>
          <w:rFonts w:ascii="Calibri" w:hAnsi="Calibri"/>
          <w:b w:val="0"/>
          <w:color w:val="3A4A28"/>
          <w:sz w:val="20"/>
        </w:rPr>
        <w:t>Long-term energy transition and Canadian carbon regulation could structurally reduce pipeline throughput volumes and strand physical infrastructure assets, though AI data center demand provides a partial offset [4]</w:t>
      </w:r>
    </w:p>
    <w:p>
      <w:pPr>
        <w:spacing w:before="40" w:after="40"/>
        <w:ind w:left="283"/>
      </w:pPr>
      <w:r>
        <w:rPr>
          <w:rFonts w:ascii="Calibri" w:hAnsi="Calibri"/>
          <w:b/>
          <w:color w:val="4A6B25"/>
          <w:sz w:val="20"/>
        </w:rPr>
        <w:t xml:space="preserve">3. </w:t>
      </w:r>
      <w:r>
        <w:rPr>
          <w:rFonts w:ascii="Calibri" w:hAnsi="Calibri"/>
          <w:b w:val="0"/>
          <w:color w:val="3A4A28"/>
          <w:sz w:val="20"/>
        </w:rPr>
        <w:t>Glassdoor reviews (3.6/5) citing nepotism, office politics, and poor communication signal cultural challenges that could impede execution on growth initiatives like Greenlight and Cedar LNG during a critical expansion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Pembina operates physical pipeline infrastructure, fractionation facilities, and storage caverns — assets that AI structurally cannot displace [1]. Midstream energy transportation requires regulatory permits, physical right-of-way, and massive capital investment creating permanent barriers. The fee-based business model with long-term take-or-pay contracts provides additional insulation from technological disruption. AI data center expansion actually increases demand for natural gas-fired power, directly benefiting Pembina's throughput volumes and its Greenlight Electricity Center partnership targeting 1,800 MW for data center customers [2]. Some commodity banking products face moderate AI/digital pressure, but the core physical infrastructure is immune. AI Opportunity (1/1): Pembina's Greenlight Electricity Center LP joint venture is specifically designed to supply natural gas-powered electricity to AI data centers, with first 450 MW phase under development, representing direct and quantifiable AI-driven revenue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Pembina Pipeline Q1 2026 Earnings Release — C$1,131M Adj EBITDA, $0.59 EPS (Beat $0.52), FY2026 Guidance Raised to C$4.35B-C$4.55B, May 2026</w:t>
      </w:r>
    </w:p>
    <w:p>
      <w:pPr>
        <w:spacing w:before="20" w:after="20"/>
        <w:ind w:left="170"/>
      </w:pPr>
      <w:r>
        <w:rPr>
          <w:rFonts w:ascii="Calibri" w:hAnsi="Calibri"/>
          <w:b/>
          <w:color w:val="4A6B25"/>
          <w:sz w:val="15"/>
        </w:rPr>
        <w:t xml:space="preserve">2. </w:t>
      </w:r>
      <w:r>
        <w:rPr>
          <w:rFonts w:ascii="Calibri" w:hAnsi="Calibri"/>
          <w:b w:val="0"/>
          <w:color w:val="3A4A28"/>
          <w:sz w:val="17"/>
        </w:rPr>
        <w:t>Pembina Pipeline — Greenlight Electricity Center LP (1,800 MW), CEO Scott Burrows, 40-F AI Risk Disclosures, Glassdoor Reviews,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Pembina Pipeline Corporate Website — Company Purpose, Officer Team, Governance,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Pembina Pipeline Sustainability Report — 30% GHG Reduction Target by 2030, Safety Record, SASB/GRI/TCFD Reporting,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PBA Key Statistics, Forward P/E, D/E 78%,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