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PBI</w:t>
      </w:r>
      <w:r>
        <w:rPr>
          <w:rFonts w:ascii="Calibri" w:hAnsi="Calibri"/>
          <w:b/>
          <w:color w:val="1A2010"/>
          <w:sz w:val="40"/>
        </w:rPr>
        <w:t xml:space="preserve">  Pitney Bowes Inc.</w:t>
      </w:r>
    </w:p>
    <w:p>
      <w:pPr>
        <w:spacing w:after="120"/>
      </w:pPr>
      <w:r>
        <w:rPr>
          <w:rFonts w:ascii="Calibri" w:hAnsi="Calibri"/>
          <w:b/>
          <w:color w:val="6E8450"/>
          <w:sz w:val="18"/>
        </w:rPr>
        <w:t>DIVIDEND SLEEVE · 2026-07-14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&amp; Environmental Services · NYSE · United States</w:t>
      </w:r>
    </w:p>
    <w:p>
      <w:pPr>
        <w:spacing w:after="80"/>
      </w:pPr>
      <w:r>
        <w:rPr>
          <w:rFonts w:ascii="Calibri" w:hAnsi="Calibri"/>
          <w:b w:val="0"/>
          <w:color w:val="3A4A28"/>
          <w:sz w:val="20"/>
        </w:rPr>
        <w:t>Pitney Bowes Inc. is a global shipping and mailing company that provides technology, logistics, and financial services to clients worldwide. The company operates through two primary segments: SendTech Solutions (postage meters, shipping products, and related financial services) and Presort Services (mail sortation services for large-volume mailers). Founded in 1920 and headquartered in Stamford, Connecticut, Pitney Bowes has been transforming from a legacy mailing company toward a technology-driven shipping and financial services provider after divesting its money-losing Global ecommerce business in 2024.</w:t>
      </w:r>
    </w:p>
    <w:p>
      <w:r>
        <w:rPr>
          <w:rFonts w:ascii="Calibri" w:hAnsi="Calibri"/>
          <w:b/>
          <w:color w:val="6E8450"/>
          <w:sz w:val="18"/>
        </w:rPr>
        <w:t>6,600 Employees · https://www.pitneybowes.com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Pitney Bowes executed a significant strategic transformation by divesting the money-losing Global ecommerce segment in 2024 and refocusing on its core SendTech Solutions and Presort Services businesses [1][2]. This painful but necessary pivot has already delivered results — adjusted EBIT margins expanded materially and free cash flow turned positive at $44 million in Q1 2026 versus negative $20 million a year earlier. While not a product innovation, this represents a meaningful business model transformation. AI Deployment (0/2): No evidence of AI-powered products or quantified AI-driven cost savings. The company's technology stack remains centered on traditional postage meters, shipping products, and financial services [1]. Market Share (1/2): Pitney Bowes maintains a strong position in postage meters (SendTech) and is a leading presort services provider, processing billions of mail pieces annually [1]. However, these are mature, declining markets. Product Pipeline (0/2): No next-generation products with specific timelines or revenue visibility were identified. SendTech Solutions innovations appear incremental. R&amp;D Intensity (0/1): R&amp;D spending is below average for technology-oriented peers; the company is primarily a services business with limited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Pitney Bowes describes itself as enabling commerce through innovation that delivers better results for clients, communities, and people [3]. This is a generic mission statement interchangeable with any logistics or business services company — it does not articulate a deeper purpose beyond functional value delivery. Community Impact (1/2): The company has published ESG reports annually since 2008, demonstrating institutional commitment to corporate responsibility [3]. General community programs exist, but no specific charitable investments with quantified dollar amounts or distinctive programs were identified. Employee Retention (0/2): Employee morale is notably poor. The entire executive team has been replaced twice in the last 18 months [4]. Glassdoor reviews describe an organization 'rampant with corporate politics,' low morale, and senior executives 'disconnected from their employees with no strategy, just cost cutting' [4]. Interim CEO Lance Rosenzweig indicates the company still lacks permanent leadership. Insider Buying (0/2): No evidence of meaningful net insider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net income of $58.1 million, up 64% from $35.4 million a year earlier, with adjusted EPS of $0.47, up 42% year-over-year [1]. Free cash flow flipped from negative $20 million to positive $44 million. The company raised full-year 2026 guidance to adjusted EPS of $1.50-$1.65 and free cash flow of $340-$370 million [2]. Forward P/E of 10.53 is significantly below the 20x target, and PEG ratio of 0.76 signals undervaluation relative to earnings growth [5]. However, the balance sheet carries $2.14 billion in total debt against negative shareholder equity (-$473 million), resulting in a D/E metric that scores 0 [5]. Revenue declined 3% in Q1 2026 to $477.4 million, and 5-year revenue CAGR is deeply negative due to the ecommerce divestiture [1]. Profit margin of 8.92% is below the 20% target but improving rapidly. Dividend metrics are strong: 50+ consecutive years of uninterrupted payments, low 23% payout ratio, and approximately 12% 5-year dividend growth CAGR as distributions have been rebuilt from the 2019 trough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Pitney Bowes is a century-old company that has struggled to find its purpose beyond the declining mail business. While the 2024 ecommerce divestiture was a necessary strategic pivot, the company is primarily optimizing for near-term profitability and cash flow rather than pursuing a long-term cause. Frequent leadership changes, low employee morale, and cost-cutting focus indicate a finite game orientation — the company is playing to survive this quarter, not to advance an enduring mission.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Pitney Bowes has operated for over 100 years, which demonstrates durability, but durability alone is not a Just Cause. The company's stated purpose around 'enabling commerce' is generic and does not inspire beyond functional service delivery [3]. The recent strategic transformation (divesting ecommerce, refocusing on core) was driven by financial necessity, not by an aspirational vision. Sinek would note that the company appears to exist to maximize operational efficiency, not to advance a future state.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evidence strongly suggests a low-trust environment. Glassdoor reviews describe an organization 'rampant with corporate politics,' and 'the entire executive team has been replaced twice in the last 18 months' [4]. The CEO role is held by an interim leader (Lance Rosenzweig), signaling unresolved leadership instability. Employees describe senior executives as 'disconnected from their employees with no strategy, just cost cutting' [4]. Morale is described as low, with constant reorganizations creating uncertainty. This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Pitney Bowes operates in mature markets with limited competitive dynamism. The company's strategic language focuses on cost optimization and margin expansion rather than learning from competitors or using competitive pressure as motivation for 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divestiture of the Global ecommerce segment represents meaningful strategic flexibility — the company abandoned a major growth initiative that was consuming cash and dragging down overall profitability [2]. The pivot back to core competencies (SendTech, Presort) required admitting failure and accepting a smaller company in exchange for a healthier one. However, this was incremental adaptation to market reality, not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divestiture of the Global ecommerce business in 2024 required courage — it was a painful acknowledgment that a major growth initiative had failed, and the company chose long-term financial health over the sunk-cost fallacy [2]. The resulting improvement in free cash flow ($44M vs -$20M) validates the decision. However, this was reactive surgery to stop the bleeding, not proactive investment in future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Pitney Bowes has emerged from a multi-year restructuring as a leaner, more profitable company. The divestiture of the money-losing Global ecommerce business has unlocked meaningful cash flow generation — Q1 2026 free cash flow reached $44 million versus negative $20 million a year earlier [1]. Adjusted EPS grew 42% year-over-year to $0.47, and management raised full-year 2026 guidance to $1.50-$1.65 in adjusted EPS with $340-$370 million in free cash flow [2]. At a forward P/E of 10.53 and PEG of 0.76, the stock appears undervalued relative to the earnings recovery trajectory. The SendTech financial services business generates recurring revenue through equipment leasing and postage financing, while Presort Services benefits from its position as a leading mail pre-sorter with USPS pricing advantages.</w:t>
      </w:r>
    </w:p>
    <w:p>
      <w:pPr>
        <w:spacing w:after="120"/>
      </w:pPr>
      <w:r>
        <w:rPr>
          <w:rFonts w:ascii="Calibri" w:hAnsi="Calibri"/>
          <w:b w:val="0"/>
          <w:color w:val="3A4A28"/>
          <w:sz w:val="20"/>
        </w:rPr>
        <w:t>The core concern is that Pitney Bowes is optimizing a structurally declining business. Q1 2026 revenue fell 3% to $477.4 million, Presort Services revenue declined 8% with gross margin compressing from 41.2% to 35.1%, and physical mail volumes continue their secular decline as digital communication advances [1]. The balance sheet carries $2.14 billion in debt against negative shareholder equity, creating significant financial risk if the earnings recovery stalls [5]. Leadership instability is a major red flag — the company operates under an interim CEO, the executive team has been replaced twice in 18 months, and Glassdoor reviews describe low morale and corporate politics [4]. The dividend yield of 2.1% is modest for the risk profile, and while the 5-year dividend growth CAGR of 12.5% is strong, it reflects recovery from a deeply cut base ($0.05/quarter in 2019-2023) rather than organic growth. Investors are essentially betting that operational excellence can extract sufficient cash from declining mail volumes to service the debt and sustain distributions.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adjusted EPS guidance of $1.50-$1.65 with free cash flow of $340-$370 million, representing continued profit margin expansion as the post-divestiture cost structure delivers operating leverage</w:t>
      </w:r>
    </w:p>
    <w:p>
      <w:pPr>
        <w:spacing w:before="40" w:after="40"/>
        <w:ind w:left="283"/>
      </w:pPr>
      <w:r>
        <w:rPr>
          <w:rFonts w:ascii="Calibri" w:hAnsi="Calibri"/>
          <w:b/>
          <w:color w:val="4A6B25"/>
          <w:sz w:val="20"/>
        </w:rPr>
        <w:t xml:space="preserve">2. </w:t>
      </w:r>
      <w:r>
        <w:rPr>
          <w:rFonts w:ascii="Calibri" w:hAnsi="Calibri"/>
          <w:b w:val="0"/>
          <w:color w:val="3A4A28"/>
          <w:sz w:val="20"/>
        </w:rPr>
        <w:t>Potential appointment of a permanent CEO with a clear long-term strategy, which could stabilize leadership, improve employee morale, and attract strategic investors</w:t>
      </w:r>
    </w:p>
    <w:p>
      <w:pPr>
        <w:spacing w:before="40" w:after="40"/>
        <w:ind w:left="283"/>
      </w:pPr>
      <w:r>
        <w:rPr>
          <w:rFonts w:ascii="Calibri" w:hAnsi="Calibri"/>
          <w:b/>
          <w:color w:val="4A6B25"/>
          <w:sz w:val="20"/>
        </w:rPr>
        <w:t xml:space="preserve">3. </w:t>
      </w:r>
      <w:r>
        <w:rPr>
          <w:rFonts w:ascii="Calibri" w:hAnsi="Calibri"/>
          <w:b w:val="0"/>
          <w:color w:val="3A4A28"/>
          <w:sz w:val="20"/>
        </w:rPr>
        <w:t>Debt reduction using the improved free cash flow profile, which could improve the balance sheet from negative equity and enable meaningful dividend growth from the current 23% payout ratio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mail volume decline continues to erode revenue — Presort Services revenue fell 8% in Q1 2026 with margin compression, and there is no catalyst for mail volume stabilization in a digital-first world</w:t>
      </w:r>
    </w:p>
    <w:p>
      <w:pPr>
        <w:spacing w:before="40" w:after="40"/>
        <w:ind w:left="283"/>
      </w:pPr>
      <w:r>
        <w:rPr>
          <w:rFonts w:ascii="Calibri" w:hAnsi="Calibri"/>
          <w:b/>
          <w:color w:val="4A6B25"/>
          <w:sz w:val="20"/>
        </w:rPr>
        <w:t xml:space="preserve">2. </w:t>
      </w:r>
      <w:r>
        <w:rPr>
          <w:rFonts w:ascii="Calibri" w:hAnsi="Calibri"/>
          <w:b w:val="0"/>
          <w:color w:val="3A4A28"/>
          <w:sz w:val="20"/>
        </w:rPr>
        <w:t>Negative shareholder equity of approximately -$473 million and $2.14 billion in total debt create significant financial fragility — any earnings miss or liquidity disruption could trigger covenant issues or credit rating downgrades</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an interim CEO, executive team replaced twice in 18 months, and poor employee morale — without permanent leadership aligned on a long-term vision, the turnaround remains fragile and talent retention is at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Pitney Bowes' core operations involve physical processes that AI cannot substitute — Presort Services physically sorts and processes billions of mail pieces through sorting facilities, and SendTech provides physical postage meters, printers, and shipping equipment that require hardware manufacturing and field service [1]. The financial services component (equipment leasing and postage financing) is protected by regulatory requirements and existing customer relationships with high switching costs. However, the broader secular decline in physical mail volumes — which predates AI — continues to erode the addressable market. AI may modestly accelerate the shift to digital communication, further compressing mail volumes, though this is incremental rather than transformative. AI Opportunity (0/1): No quantifiable AI-specific revenue was identified. Pitney Bowes has not deployed AI products or reported AI-driven efficiency gains [1]. The company's technology investments appear focused on incremental shipping and mailing solutions rather than AI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Pitney Bowes Q1 2026 Earnings Release and 10-Q Filing, May 2026</w:t>
      </w:r>
    </w:p>
    <w:p>
      <w:pPr>
        <w:spacing w:before="20" w:after="20"/>
        <w:ind w:left="170"/>
      </w:pPr>
      <w:r>
        <w:rPr>
          <w:rFonts w:ascii="Calibri" w:hAnsi="Calibri"/>
          <w:b/>
          <w:color w:val="4A6B25"/>
          <w:sz w:val="15"/>
        </w:rPr>
        <w:t xml:space="preserve">2. </w:t>
      </w:r>
      <w:r>
        <w:rPr>
          <w:rFonts w:ascii="Calibri" w:hAnsi="Calibri"/>
          <w:b w:val="0"/>
          <w:color w:val="3A4A28"/>
          <w:sz w:val="17"/>
        </w:rPr>
        <w:t>Pitney Bowes Full-Year 2026 Guidance Update and Preliminary Results, April 2026</w:t>
      </w:r>
    </w:p>
    <w:p>
      <w:pPr>
        <w:spacing w:before="20" w:after="20"/>
        <w:ind w:left="170"/>
      </w:pPr>
      <w:r>
        <w:rPr>
          <w:rFonts w:ascii="Calibri" w:hAnsi="Calibri"/>
          <w:b/>
          <w:color w:val="4A6B25"/>
          <w:sz w:val="15"/>
        </w:rPr>
        <w:t xml:space="preserve">3. </w:t>
      </w:r>
      <w:r>
        <w:rPr>
          <w:rFonts w:ascii="Calibri" w:hAnsi="Calibri"/>
          <w:b w:val="0"/>
          <w:color w:val="3A4A28"/>
          <w:sz w:val="17"/>
        </w:rPr>
        <w:t>Pitney Bowes Company Overview, Leadership Team, and ESG Reports — pitneybowes.com,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Pitney Bowes Work Culture and Leadership,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StockAnalysis.com — PBI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