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PEB</w:t>
      </w:r>
      <w:r>
        <w:rPr>
          <w:rFonts w:ascii="Calibri" w:hAnsi="Calibri"/>
          <w:b/>
          <w:color w:val="1A2010"/>
          <w:sz w:val="40"/>
        </w:rPr>
        <w:t xml:space="preserve">  Pebblebrook Hotel Trust</w:t>
      </w:r>
    </w:p>
    <w:p>
      <w:pPr>
        <w:spacing w:after="120"/>
      </w:pPr>
      <w:r>
        <w:rPr>
          <w:rFonts w:ascii="Calibri" w:hAnsi="Calibri"/>
          <w:b/>
          <w:color w:val="6E8450"/>
          <w:sz w:val="18"/>
        </w:rPr>
        <w:t>GROWTH SLEEVE · 2026-07-16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Pebblebrook Hotel Trust is a publicly traded real estate investment trust that acquires, owns, and redevelops upper-upscale, full-service hotels and resorts in major urban gateway markets across the United States. The company focuses on experiential lifestyle hotels in top leisure and business destinations.</w:t>
      </w:r>
    </w:p>
    <w:p>
      <w:r>
        <w:rPr>
          <w:rFonts w:ascii="Calibri" w:hAnsi="Calibri"/>
          <w:b/>
          <w:color w:val="6E8450"/>
          <w:sz w:val="18"/>
        </w:rPr>
        <w:t>52 Employees · https://pebblebrookhotels.com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PEB co-founded the Curator Hotel &amp; Resort Collection as a soft-brand alternative for independent hotels, representing a genuine business model innovation for a lodging REIT [1]. The company has deployed AI guest service tools through its partnership with Canary Technologies, enabling frictionless mobile check-in, digital payments, and 24/7 AI-powered chat across its portfolio [2]. However, PEB operates in a mature industry with limited market share differentiation among hotel REITs, and its pipeline visibility is confined to $65-75M in annual capital improvements rather than transformative new products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Jon Bortz has led PEB for over 16 years with a consistent vision of acquiring and repositioning urban lifestyle hotels, demonstrating long-term alignment with the company's mission [3]. PEB ties 25% of executive cash incentive bonuses to ESG performance, signaling institutional commitment to sustainability beyond rhetoric [4]. However, the mission itself — 'invest in upscale hotels in urban markets' — lacks a transcendent purpose beyond shareholder returns, and with only 52 corporate employees (operations outsourced to third-party managers), cultural depth is difficult to assess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PEB's financial profile reflects the challenges of a leveraged hotel REIT in a slow-growth environment. Net losses due to $48.9M in impairment charges, negative profit margins (-4.2%), and near-zero dividend yield (0.21%) weigh heavily [1]. Revenue growth has stalled at 1.5% YoY despite 2026 guidance of 2.25-4.25% Same-Property RevPAR growth [1]. The 5.9x net debt to EBITDA leverage ratio is typical for hotel REITs but constrains financial flexibility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PEB demonstrates elements of infinite-game thinking through CEO Bortz's 16-year tenure and consistent portfolio strategy, but the company's focus on quarterly FFO metrics and short-term capital allocation decisions reflects conventional REIT management rather than transformative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PEB's cause centers on revitalizing urban hotels and creating memorable guest experiences, which serves a functional purpose but lacks the aspirational quality of a true 'just cause' that outlasts any individual leader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52 corporate employees and operations outsourced to third-party hotel managers, PEB's team dynamics are difficult to evaluate. The lean corporate structure suggests efficiency but limits the depth of organizational culture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PEB competes against larger hotel REITs (Park Hotels, Sunstone, RLJ Lodging) and acknowledges competitive dynamics in urban markets, but shows limited evidence of learning from rivals to improve its own operations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PEB demonstrated existential flexibility by pivoting from economy/midscale to upscale lifestyle hotels, co-founding the Curator brand as a competitive alternative to Marriott/Hilton soft brands, and aggressively selling assets post-COVID to deleverage before reinvesting at better valuations [1][4].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Bortz has shown willingness to make contrarian moves — selling properties at pandemic lows to reduce leverage, then pivoting to acquisitions when valuations reset — but the company's conservative dividend policy ($0.01/quarter vs. pre-COVID levels) suggests caution over boldness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Pebblebrook Hotel Trust offers exposure to the urban hotel recovery with a portfolio of 46 upper-upscale lifestyle properties positioned to benefit from secular growth in experiential travel. The company's Curator Hotel Collection provides differentiation against the major brand-affiliated REITs, and management's 16-year track record of value creation through property repositioning is credible.</w:t>
      </w:r>
    </w:p>
    <w:p>
      <w:pPr>
        <w:spacing w:after="120"/>
      </w:pPr>
      <w:r>
        <w:rPr>
          <w:rFonts w:ascii="Calibri" w:hAnsi="Calibri"/>
          <w:b w:val="0"/>
          <w:color w:val="3A4A28"/>
          <w:sz w:val="20"/>
        </w:rPr>
        <w:t>However, PEB faces headwinds from elevated leverage (5.9x net debt/EBITDA), anemic revenue growth (1.5% YoY), and a near-zero dividend that limits income investor appeal. The stock's recovery from COVID-era lows has been incomplete, with the stock still well below its 2019 peak. A WATCH rating reflects the need for demonstrated earnings growth and deleveraging before upgrading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RevPAR growth guidance of 2.25-4.25% driven by stronger events calendar and urban demand recovery</w:t>
      </w:r>
    </w:p>
    <w:p>
      <w:pPr>
        <w:spacing w:before="40" w:after="40"/>
        <w:ind w:left="283"/>
      </w:pPr>
      <w:r>
        <w:rPr>
          <w:rFonts w:ascii="Calibri" w:hAnsi="Calibri"/>
          <w:b/>
          <w:color w:val="4A6B25"/>
          <w:sz w:val="20"/>
        </w:rPr>
        <w:t xml:space="preserve">2. </w:t>
      </w:r>
      <w:r>
        <w:rPr>
          <w:rFonts w:ascii="Calibri" w:hAnsi="Calibri"/>
          <w:b w:val="0"/>
          <w:color w:val="3A4A28"/>
          <w:sz w:val="20"/>
        </w:rPr>
        <w:t>Continued portfolio optimization through asset sales at premium valuations to deleverage toward 5.0x target</w:t>
      </w:r>
    </w:p>
    <w:p>
      <w:pPr>
        <w:spacing w:before="40" w:after="40"/>
        <w:ind w:left="283"/>
      </w:pPr>
      <w:r>
        <w:rPr>
          <w:rFonts w:ascii="Calibri" w:hAnsi="Calibri"/>
          <w:b/>
          <w:color w:val="4A6B25"/>
          <w:sz w:val="20"/>
        </w:rPr>
        <w:t xml:space="preserve">3. </w:t>
      </w:r>
      <w:r>
        <w:rPr>
          <w:rFonts w:ascii="Calibri" w:hAnsi="Calibri"/>
          <w:b w:val="0"/>
          <w:color w:val="3A4A28"/>
          <w:sz w:val="20"/>
        </w:rPr>
        <w:t>AI-enabled operational efficiencies through Canary Technologies partnership reducing labor costs per occupied room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Macroeconomic slowdown reducing business and leisure travel demand in urban gateway markets</w:t>
      </w:r>
    </w:p>
    <w:p>
      <w:pPr>
        <w:spacing w:before="40" w:after="40"/>
        <w:ind w:left="283"/>
      </w:pPr>
      <w:r>
        <w:rPr>
          <w:rFonts w:ascii="Calibri" w:hAnsi="Calibri"/>
          <w:b/>
          <w:color w:val="4A6B25"/>
          <w:sz w:val="20"/>
        </w:rPr>
        <w:t xml:space="preserve">2. </w:t>
      </w:r>
      <w:r>
        <w:rPr>
          <w:rFonts w:ascii="Calibri" w:hAnsi="Calibri"/>
          <w:b w:val="0"/>
          <w:color w:val="3A4A28"/>
          <w:sz w:val="20"/>
        </w:rPr>
        <w:t>Elevated leverage (5.9x net debt/EBITDA) limits financial flexibility if hotel values decline</w:t>
      </w:r>
    </w:p>
    <w:p>
      <w:pPr>
        <w:spacing w:before="40" w:after="40"/>
        <w:ind w:left="283"/>
      </w:pPr>
      <w:r>
        <w:rPr>
          <w:rFonts w:ascii="Calibri" w:hAnsi="Calibri"/>
          <w:b/>
          <w:color w:val="4A6B25"/>
          <w:sz w:val="20"/>
        </w:rPr>
        <w:t xml:space="preserve">3. </w:t>
      </w:r>
      <w:r>
        <w:rPr>
          <w:rFonts w:ascii="Calibri" w:hAnsi="Calibri"/>
          <w:b w:val="0"/>
          <w:color w:val="3A4A28"/>
          <w:sz w:val="20"/>
        </w:rPr>
        <w:t>Persistent net losses and impairment charges erode book value and delay dividend restoration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Hotel ownership is fundamentally a physical-asset business where AI cannot displace the core product — guests need real rooms in real locations [2]. PEB is actively deploying AI through Canary Technologies for guest services (chatbots, mobile check-in, digital tipping) and revenue management optimization, positioning AI as a margin enhancer rather than facing it as a threat [2]. The primary risk vector is AI-enabled virtual meeting tools reducing corporate travel demand, but PEB's portfolio tilt toward leisure and experiential properties mitigates this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Pebblebrook Hotel Trust 2025 Annual Results and 2026 Outlook, BusinessWire,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Travel And Tour World — 'Pebblebrook Hotels Use AI to Create Unforgettable Travel Memories', 2026</w:t>
      </w:r>
    </w:p>
    <w:p>
      <w:pPr>
        <w:spacing w:before="20" w:after="20"/>
        <w:ind w:left="170"/>
      </w:pPr>
      <w:r>
        <w:rPr>
          <w:rFonts w:ascii="Calibri" w:hAnsi="Calibri"/>
          <w:b/>
          <w:color w:val="4A6B25"/>
          <w:sz w:val="15"/>
        </w:rPr>
        <w:t xml:space="preserve">3. </w:t>
      </w:r>
      <w:r>
        <w:rPr>
          <w:rFonts w:ascii="Calibri" w:hAnsi="Calibri"/>
          <w:b w:val="0"/>
          <w:color w:val="3A4A28"/>
          <w:sz w:val="17"/>
        </w:rPr>
        <w:t>Pebblebrook Hotel Trust Leadership Team page, pebblebrookhotels.com,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Pebblebrook Hotel Trust Fifth Annual ESG Report, January 2024</w:t>
      </w:r>
    </w:p>
    <w:p>
      <w:pPr>
        <w:spacing w:before="20" w:after="20"/>
        <w:ind w:left="170"/>
      </w:pPr>
      <w:r>
        <w:rPr>
          <w:rFonts w:ascii="Calibri" w:hAnsi="Calibri"/>
          <w:b/>
          <w:color w:val="4A6B25"/>
          <w:sz w:val="15"/>
        </w:rPr>
        <w:t xml:space="preserve">5. </w:t>
      </w:r>
      <w:r>
        <w:rPr>
          <w:rFonts w:ascii="Calibri" w:hAnsi="Calibri"/>
          <w:b w:val="0"/>
          <w:color w:val="3A4A28"/>
          <w:sz w:val="17"/>
        </w:rPr>
        <w:t>StockAnalysis.com — PEB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