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PFGC</w:t>
      </w:r>
      <w:r>
        <w:rPr>
          <w:rFonts w:ascii="Calibri" w:hAnsi="Calibri"/>
          <w:b/>
          <w:color w:val="1A2010"/>
          <w:sz w:val="40"/>
        </w:rPr>
        <w:t xml:space="preserve">  Performance Food Group Company</w:t>
      </w:r>
    </w:p>
    <w:p>
      <w:pPr>
        <w:spacing w:after="120"/>
      </w:pPr>
      <w:r>
        <w:rPr>
          <w:rFonts w:ascii="Calibri" w:hAnsi="Calibri"/>
          <w:b/>
          <w:color w:val="6E8450"/>
          <w:sz w:val="18"/>
        </w:rPr>
        <w:t>GROWTH SLEEVE · 2026-07-15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Performance Food Group Company is one of the largest foodservice distribution companies in North America, distributing approximately 250,000 food and food-related products to over 300,000 customer locations including restaurants, schools, hospitals, hotels, convenience stores, and other institutional and retail customers. Operates through three segments: Foodservice, Vistar (vending and office refreshment), and Convenience (via the 2021 Core-Mark acquisition). Headquartered in Richmond, Virginia.</w:t>
      </w:r>
    </w:p>
    <w:p>
      <w:r>
        <w:rPr>
          <w:rFonts w:ascii="Calibri" w:hAnsi="Calibri"/>
          <w:b/>
          <w:color w:val="6E8450"/>
          <w:sz w:val="18"/>
        </w:rPr>
        <w:t>40,000 Employees · https://www.pfgc.com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PFG executed two transformative acquisitions in the last five years — the $2.9B Core-Mark acquisition in 2021 that added convenience store distribution as an entirely new business segment serving 50,000+ locations, and the $2.1B Cheney Bros. acquisition in 2025 that expanded Southeast market penetration [1][2]. These deals transformed PFG from a pure foodservice distributor into a multi-channel distribution platform. AI Deployment (0/2): No evidence of AI-powered products or quantified AI-driven cost savings; the company acknowledges AI-related technology risks in SEC filings but has not reported specific AI deployment results [2]. Market Share (1/2): PFG is the third-largest foodservice distributor in North America behind Sysco and US Foods, with independent restaurant case growth accelerating to 6.5%, consistently outperforming the 6% industry benchmark through sustained market share gains [2]. Product Pipeline (0/2): No next-generation products or services announced with specific launch timelines; growth strategy centers on acquisitions and organic share gains rather than new product development. R&amp;D Intensity (0/1): As a food distribution company, PFG does not report meaningful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PFG's corporate responsibility messaging centers on 'the power of food to connect us all' — clear purpose identifying what the company does and for whom, but not a distinctive deeper purpose beyond generic food industry positioning [3]. Community &amp; Charitable Impact (1/2): PFG published its second annual ESG report in fiscal 2022, established its first set of ESG goals, hired a Vice President of Diversity &amp; Inclusion, and set a target to reduce Scope 1 and 2 emissions by 30% by 2034 versus the 2021 baseline — standard corporate ESG programs without distinctive community investment [3][4]. Employee Retention (0/2): Comparably overall culture rating of C+ (73/100), with employees citing hierarchical leadership that 'treats individual contributors as if they were somehow beneath them' and promotions based on personal connections rather than skill or achievement [4]. No specific tenure or turnover data available. Insider Buying (0/2): No evidence of meaningful net insider buying by CEO George Holm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revenue guidance narrowed to $67.7-68.0B, with nine-month net sales of $49.8B (up 7.4% YoY) tracking to target [1][2]. Five-year revenue CAGR of approximately 20% reflects both organic case growth and transformative M&amp;A (Core-Mark, Cheney Bros.), though COVID-era recovery inflates this figure. Forward P/E of 18.16 and PEG ratio of 0.97 indicate reasonable valuation for the earnings growth profile [5]. ROE of 7.42% and net profit margin of 0.53% reflect the structurally ultra-thin-margin nature of food distribution, while D/E of 182% is elevated due to $8.3B in acquisition-related debt against $38M cash [5]. Adjusted EBITDA guidance of $1.9-1.93B demonstrates operational leverage despite razor-thin net margins. Liquidity floor easily cleared at $112.99 stock price on 1.76M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Performance Food Group operates with a mixed infinite/finite mindset. The company's acquisitive growth strategy — Core-Mark ($2.9B) and Cheney Bros. ($2.1B) — demonstrates strategic ambition to build a durable multi-channel distribution platform, but execution is driven by financial consolidation rather than a transcendent purpose. CEO George Holm has led a consistent growth-through-acquisition playbook that creates long-term value but lacks the depth of purpose that characterizes true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PFG's purpose of connecting people through food is genuine but shallow — interchangeable with any food industry peer [3]. Strategic decisions (acquisitions, market expansion) trace to competitive positioning and financial returns rather than advancing a specific vision of a better future. Leadership references to 'the power of food' function more as marketing than a deeply held conviction shaping capital allocation or strategic trade-offs.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 culture rating of C+ (73/100) suggests an adequate but unremarkable work environment [4]. Some employees describe hierarchical leadership dynamics and advancement based on personal connections rather than merit. However, the company is organizationally stable with consistent leadership under CEO George Holm, and the scale of operations (40,000 employees across distribution centers) requires functional trust in daily execution. Average for the food distribution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PFG competes with Sysco and US Foods as the third-largest foodservice distributor in North America. Management language focuses on winning independent restaurant share through superior service quality and supply chain capabilities — particularly the 6.5% independent case growth outperforming the 6% benchmark — rather than obsessing over defeating specific competitors [2]. The competitive strategy emphasizes self-improvement through operational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$2.9B Core-Mark acquisition represented a meaningful strategic evolution from pure foodservice distribution into convenience store and multi-channel distribution, expanding PFG's addressable market and customer base significantly [1]. This demonstrated strategic willingness to evolve beyond the legacy foodservice model, though it followed an established industry consolidation playbook rather than representing a fundamental business model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$2.9B Core-Mark and $2.1B Cheney Bros. acquisitions were bold capital allocation decisions that required taking on significant debt ($8.3B total) and integration risk to build long-term strategic optionality [1][2]. Management's willingness to narrow rather than cut FY2026 guidance despite deflation and integration drag reflects measured confidence. However, these bets follow a well-established industry playbook rather than representing principled stands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Performance Food Group delivered nine-month FY2026 net sales of $49.8B (up 7.4% YoY) and tightened full-year guidance to $67.7-68.0B with Adjusted EBITDA of $1.9-1.93B, demonstrating consistent execution as the third-largest North American foodservice distributor [1][2]. Independent restaurant case growth of 6.5% — outperforming the 6% industry benchmark — signals sustained organic market share gains, while the Core-Mark and Cheney Bros. acquisitions have transformed PFG into a diversified multi-channel distribution platform. Forward P/E of 18.16 and PEG of 0.97 suggest attractive valuation relative to the earnings growth trajectory, and the Inspire Insight score of +54 (ALIGNED) reflects strong ESG positioning [5].</w:t>
      </w:r>
    </w:p>
    <w:p>
      <w:pPr>
        <w:spacing w:after="120"/>
      </w:pPr>
      <w:r>
        <w:rPr>
          <w:rFonts w:ascii="Calibri" w:hAnsi="Calibri"/>
          <w:b w:val="0"/>
          <w:color w:val="3A4A28"/>
          <w:sz w:val="20"/>
        </w:rPr>
        <w:t>The bear case centers on PFG's debt-fueled growth model — $8.3B in debt against just $38M cash (D/E of 182%) creates significant financial risk if organic growth decelerates or integration execution falters [5]. Net profit margin of 0.53% and ROE of 7.42% highlight the structural fragility of food distribution, where any margin compression or volume decline drops disproportionately to the bottom line. GAAP earnings have been volatile (Q1 EPS of $0.60, Q2 $0.40, Q3 $0.27) as acquisition-related charges distort reported profitability [1][2]. CEO succession from George Holm to Scott McPherson (January 2025) introduces leadership transition risk during a critical integration phase, and Glassdoor's C+ culture rating raises questions about whether the organization can sustain the pace of acquisitive growth without straining its people.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Cheney Bros. integration synergy realization expected through FY2027, unlocking distribution efficiencies and expanding Southeast market penetration with an additional $3-4B in annual Foodservice revenue</w:t>
      </w:r>
    </w:p>
    <w:p>
      <w:pPr>
        <w:spacing w:before="40" w:after="40"/>
        <w:ind w:left="283"/>
      </w:pPr>
      <w:r>
        <w:rPr>
          <w:rFonts w:ascii="Calibri" w:hAnsi="Calibri"/>
          <w:b/>
          <w:color w:val="4A6B25"/>
          <w:sz w:val="20"/>
        </w:rPr>
        <w:t xml:space="preserve">2. </w:t>
      </w:r>
      <w:r>
        <w:rPr>
          <w:rFonts w:ascii="Calibri" w:hAnsi="Calibri"/>
          <w:b w:val="0"/>
          <w:color w:val="3A4A28"/>
          <w:sz w:val="20"/>
        </w:rPr>
        <w:t>Independent restaurant case growth sustaining above the 6% industry benchmark through superior service levels and supply chain capabilities, driving organic share gains against Sysco and US Foods</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toward 3% as acquisition integration costs normalize and operational leverage improves across the $68B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 load of $8.3B (D/E of 182%) creates elevated financial risk, with interest expense consuming a material share of operating income — any revenue growth deceleration would pressure thin margins disproportionately</w:t>
      </w:r>
    </w:p>
    <w:p>
      <w:pPr>
        <w:spacing w:before="40" w:after="40"/>
        <w:ind w:left="283"/>
      </w:pPr>
      <w:r>
        <w:rPr>
          <w:rFonts w:ascii="Calibri" w:hAnsi="Calibri"/>
          <w:b/>
          <w:color w:val="4A6B25"/>
          <w:sz w:val="20"/>
        </w:rPr>
        <w:t xml:space="preserve">2. </w:t>
      </w:r>
      <w:r>
        <w:rPr>
          <w:rFonts w:ascii="Calibri" w:hAnsi="Calibri"/>
          <w:b w:val="0"/>
          <w:color w:val="3A4A28"/>
          <w:sz w:val="20"/>
        </w:rPr>
        <w:t>Ultra-thin net profit margin of 0.53% leaves minimal buffer for execution missteps, food cost inflation, or competitive pricing pressure from Sysco and US Foods in the broadline distribution segment</w:t>
      </w:r>
    </w:p>
    <w:p>
      <w:pPr>
        <w:spacing w:before="40" w:after="40"/>
        <w:ind w:left="283"/>
      </w:pPr>
      <w:r>
        <w:rPr>
          <w:rFonts w:ascii="Calibri" w:hAnsi="Calibri"/>
          <w:b/>
          <w:color w:val="4A6B25"/>
          <w:sz w:val="20"/>
        </w:rPr>
        <w:t xml:space="preserve">3. </w:t>
      </w:r>
      <w:r>
        <w:rPr>
          <w:rFonts w:ascii="Calibri" w:hAnsi="Calibri"/>
          <w:b w:val="0"/>
          <w:color w:val="3A4A28"/>
          <w:sz w:val="20"/>
        </w:rPr>
        <w:t>CEO succession from Holm to McPherson during active Cheney Bros. integration introduces leadership transition risk, compounded by Glassdoor C+ culture rating suggesting organizational strain from rapid acquisitive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PFG's core business — physical distribution of food products through a fleet of trucks, warehouses, and cold chain infrastructure serving 300,000+ customer locations — is structurally immune to AI substitution [2]. Food distribution requires temperature-controlled supply chains, physical logistics networks, and local customer relationships that AI cannot replicate. The Convenience segment (Core-Mark) similarly depends on physical delivery to 50,000+ retail locations. Some exposure exists in back-office functions, ordering systems, and customer service where AI automation could reduce operational headcount, but the physical infrastructure moat is decisive. AI Opportunity (0/1): No evidence of quantifiable AI-driven revenue or products. PFG acknowledges AI as a technology risk in SEC filings but has not reported specific AI deployments, cost savings, or revenue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Performance Food Group Q1 FY2026 Earnings Release — investors.pfgc.com, November 2025</w:t>
      </w:r>
    </w:p>
    <w:p>
      <w:pPr>
        <w:spacing w:before="20" w:after="20"/>
        <w:ind w:left="170"/>
      </w:pPr>
      <w:r>
        <w:rPr>
          <w:rFonts w:ascii="Calibri" w:hAnsi="Calibri"/>
          <w:b/>
          <w:color w:val="4A6B25"/>
          <w:sz w:val="15"/>
        </w:rPr>
        <w:t xml:space="preserve">2. </w:t>
      </w:r>
      <w:r>
        <w:rPr>
          <w:rFonts w:ascii="Calibri" w:hAnsi="Calibri"/>
          <w:b w:val="0"/>
          <w:color w:val="3A4A28"/>
          <w:sz w:val="17"/>
        </w:rPr>
        <w:t>Performance Food Group Q3 FY2026 Earnings Release and Updated FY2026 Guidance — SEC Form 8-K, May 2026</w:t>
      </w:r>
    </w:p>
    <w:p>
      <w:pPr>
        <w:spacing w:before="20" w:after="20"/>
        <w:ind w:left="170"/>
      </w:pPr>
      <w:r>
        <w:rPr>
          <w:rFonts w:ascii="Calibri" w:hAnsi="Calibri"/>
          <w:b/>
          <w:color w:val="4A6B25"/>
          <w:sz w:val="15"/>
        </w:rPr>
        <w:t xml:space="preserve">3. </w:t>
      </w:r>
      <w:r>
        <w:rPr>
          <w:rFonts w:ascii="Calibri" w:hAnsi="Calibri"/>
          <w:b w:val="0"/>
          <w:color w:val="3A4A28"/>
          <w:sz w:val="17"/>
        </w:rPr>
        <w:t>Performance Food Group Corporate Responsibility — pfgc.com,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Performance Food Group ESG Report FY2023, Glassdoor/Comparably Culture Reviews —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PFGC Key Statistics and Valuation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